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531488789" name=""/>
                <a:graphic>
                  <a:graphicData uri="http://schemas.microsoft.com/office/word/2010/wordprocessingGroup">
                    <wpg:wgp>
                      <wpg:cNvGrpSpPr/>
                      <wpg:grpSpPr>
                        <a:xfrm>
                          <a:off x="4695775" y="3179725"/>
                          <a:ext cx="1299935" cy="1200032"/>
                          <a:chOff x="4695775" y="3179725"/>
                          <a:chExt cx="1300450" cy="1200550"/>
                        </a:xfrm>
                      </wpg:grpSpPr>
                      <wpg:grpSp>
                        <wpg:cNvGrpSpPr/>
                        <wpg:grpSpPr>
                          <a:xfrm>
                            <a:off x="4696033" y="3179984"/>
                            <a:ext cx="1299935" cy="1200032"/>
                            <a:chOff x="4683325" y="3167275"/>
                            <a:chExt cx="1325350" cy="1225450"/>
                          </a:xfrm>
                        </wpg:grpSpPr>
                        <wps:wsp>
                          <wps:cNvSpPr/>
                          <wps:cNvPr id="4" name="Shape 4"/>
                          <wps:spPr>
                            <a:xfrm>
                              <a:off x="4683325" y="3167275"/>
                              <a:ext cx="1325350" cy="12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6033" y="3179984"/>
                              <a:ext cx="1299935" cy="1200032"/>
                              <a:chOff x="0" y="0"/>
                              <a:chExt cx="6296297" cy="5299166"/>
                            </a:xfrm>
                          </wpg:grpSpPr>
                          <wps:wsp>
                            <wps:cNvSpPr/>
                            <wps:cNvPr id="6" name="Shape 6"/>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53148878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99935" cy="1200032"/>
                        </a:xfrm>
                        <a:prstGeom prst="rect"/>
                        <a:ln/>
                      </pic:spPr>
                    </pic:pic>
                  </a:graphicData>
                </a:graphic>
              </wp:anchor>
            </w:drawing>
          </mc:Fallback>
        </mc:AlternateContent>
      </w:r>
    </w:p>
    <w:p w:rsidR="00000000" w:rsidDel="00000000" w:rsidP="00000000" w:rsidRDefault="00000000" w:rsidRPr="00000000" w14:paraId="00000003">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i w:val="1"/>
          <w:color w:val="808080"/>
          <w:sz w:val="24"/>
          <w:szCs w:val="24"/>
        </w:rPr>
      </w:pPr>
      <w:r w:rsidDel="00000000" w:rsidR="00000000" w:rsidRPr="00000000">
        <w:rPr>
          <w:rFonts w:ascii="Arial" w:cs="Arial" w:eastAsia="Arial" w:hAnsi="Arial"/>
          <w:b w:val="1"/>
          <w:i w:val="1"/>
          <w:color w:val="808080"/>
          <w:sz w:val="24"/>
          <w:szCs w:val="24"/>
          <w:rtl w:val="0"/>
        </w:rPr>
        <w:t xml:space="preserve">EU-CERT:</w:t>
        <w:br w:type="textWrapping"/>
        <w:t xml:space="preserve">European Certificates and Accreditation for European Projects</w:t>
      </w:r>
    </w:p>
    <w:p w:rsidR="00000000" w:rsidDel="00000000" w:rsidP="00000000" w:rsidRDefault="00000000" w:rsidRPr="00000000" w14:paraId="00000007">
      <w:pPr>
        <w:spacing w:line="276" w:lineRule="auto"/>
        <w:jc w:val="center"/>
        <w:rPr>
          <w:rFonts w:ascii="Arial" w:cs="Arial" w:eastAsia="Arial" w:hAnsi="Arial"/>
          <w:b w:val="1"/>
          <w:i w:val="1"/>
          <w:color w:val="808080"/>
          <w:sz w:val="24"/>
          <w:szCs w:val="24"/>
        </w:rPr>
      </w:pPr>
      <w:r w:rsidDel="00000000" w:rsidR="00000000" w:rsidRPr="00000000">
        <w:rPr>
          <w:rtl w:val="0"/>
        </w:rPr>
      </w:r>
    </w:p>
    <w:p w:rsidR="00000000" w:rsidDel="00000000" w:rsidP="00000000" w:rsidRDefault="00000000" w:rsidRPr="00000000" w14:paraId="00000008">
      <w:pPr>
        <w:spacing w:line="276" w:lineRule="auto"/>
        <w:jc w:val="center"/>
        <w:rPr>
          <w:rFonts w:ascii="Arial" w:cs="Arial" w:eastAsia="Arial" w:hAnsi="Arial"/>
          <w:b w:val="1"/>
          <w:i w:val="1"/>
          <w:color w:val="808080"/>
          <w:sz w:val="24"/>
          <w:szCs w:val="24"/>
        </w:rPr>
      </w:pPr>
      <w:r w:rsidDel="00000000" w:rsidR="00000000" w:rsidRPr="00000000">
        <w:rPr>
          <w:rtl w:val="0"/>
        </w:rPr>
      </w:r>
    </w:p>
    <w:p w:rsidR="00000000" w:rsidDel="00000000" w:rsidP="00000000" w:rsidRDefault="00000000" w:rsidRPr="00000000" w14:paraId="00000009">
      <w:pPr>
        <w:pStyle w:val="Title"/>
        <w:spacing w:after="0" w:line="240" w:lineRule="auto"/>
        <w:jc w:val="center"/>
        <w:rPr>
          <w:sz w:val="44"/>
          <w:szCs w:val="44"/>
        </w:rPr>
      </w:pPr>
      <w:bookmarkStart w:colFirst="0" w:colLast="0" w:name="_heading=h.hjk7ap8xzog3" w:id="0"/>
      <w:bookmarkEnd w:id="0"/>
      <w:r w:rsidDel="00000000" w:rsidR="00000000" w:rsidRPr="00000000">
        <w:rPr>
          <w:sz w:val="44"/>
          <w:szCs w:val="44"/>
          <w:rtl w:val="0"/>
        </w:rPr>
        <w:t xml:space="preserve">Dokument o politici</w:t>
      </w:r>
    </w:p>
    <w:p w:rsidR="00000000" w:rsidDel="00000000" w:rsidP="00000000" w:rsidRDefault="00000000" w:rsidRPr="00000000" w14:paraId="0000000A">
      <w:pPr>
        <w:pStyle w:val="Title"/>
        <w:spacing w:after="0" w:line="240" w:lineRule="auto"/>
        <w:jc w:val="center"/>
        <w:rPr>
          <w:sz w:val="44"/>
          <w:szCs w:val="44"/>
        </w:rPr>
      </w:pPr>
      <w:bookmarkStart w:colFirst="0" w:colLast="0" w:name="_heading=h.iwcwldnx29gh" w:id="1"/>
      <w:bookmarkEnd w:id="1"/>
      <w:r w:rsidDel="00000000" w:rsidR="00000000" w:rsidRPr="00000000">
        <w:rPr>
          <w:sz w:val="44"/>
          <w:szCs w:val="44"/>
          <w:rtl w:val="0"/>
        </w:rPr>
        <w:t xml:space="preserve">Otključavanje Upravljanje kvalitetom i Akreditacija za Sektor Obrazovanje odraslih</w:t>
      </w:r>
    </w:p>
    <w:p w:rsidR="00000000" w:rsidDel="00000000" w:rsidP="00000000" w:rsidRDefault="00000000" w:rsidRPr="00000000" w14:paraId="0000000B">
      <w:pPr>
        <w:spacing w:line="276" w:lineRule="auto"/>
        <w:jc w:val="center"/>
        <w:rPr>
          <w:rFonts w:ascii="Times New Roman" w:cs="Times New Roman" w:eastAsia="Times New Roman" w:hAnsi="Times New Roman"/>
          <w:i w:val="1"/>
          <w:color w:val="0e0e0e"/>
          <w:sz w:val="28"/>
          <w:szCs w:val="28"/>
        </w:rPr>
      </w:pPr>
      <w:r w:rsidDel="00000000" w:rsidR="00000000" w:rsidRPr="00000000">
        <w:rPr>
          <w:b w:val="1"/>
          <w:sz w:val="40"/>
          <w:szCs w:val="40"/>
          <w:rtl w:val="0"/>
        </w:rPr>
        <w:br w:type="textWrapping"/>
      </w:r>
      <w:r w:rsidDel="00000000" w:rsidR="00000000" w:rsidRPr="00000000">
        <w:rPr>
          <w:rFonts w:ascii="Times New Roman" w:cs="Times New Roman" w:eastAsia="Times New Roman" w:hAnsi="Times New Roman"/>
          <w:i w:val="1"/>
          <w:color w:val="0e0e0e"/>
          <w:sz w:val="28"/>
          <w:szCs w:val="28"/>
          <w:rtl w:val="0"/>
        </w:rPr>
        <w:t xml:space="preserve">Svibanj 2024</w:t>
      </w:r>
    </w:p>
    <w:p w:rsidR="00000000" w:rsidDel="00000000" w:rsidP="00000000" w:rsidRDefault="00000000" w:rsidRPr="00000000" w14:paraId="000000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TIR Consulting Group j.d.o.o</w:t>
      </w:r>
    </w:p>
    <w:p w:rsidR="00000000" w:rsidDel="00000000" w:rsidP="00000000" w:rsidRDefault="00000000" w:rsidRPr="00000000" w14:paraId="0000000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ZAGREB, Hrvatska </w:t>
      </w:r>
    </w:p>
    <w:p w:rsidR="00000000" w:rsidDel="00000000" w:rsidP="00000000" w:rsidRDefault="00000000" w:rsidRPr="00000000" w14:paraId="0000000E">
      <w:pPr>
        <w:spacing w:after="0" w:line="360" w:lineRule="auto"/>
        <w:rPr>
          <w:b w:val="1"/>
          <w:sz w:val="24"/>
          <w:szCs w:val="24"/>
        </w:rPr>
      </w:pPr>
      <w:r w:rsidDel="00000000" w:rsidR="00000000" w:rsidRPr="00000000">
        <w:rPr>
          <w:rtl w:val="0"/>
        </w:rPr>
      </w:r>
    </w:p>
    <w:p w:rsidR="00000000" w:rsidDel="00000000" w:rsidP="00000000" w:rsidRDefault="00000000" w:rsidRPr="00000000" w14:paraId="0000000F">
      <w:pPr>
        <w:spacing w:after="0" w:line="360" w:lineRule="auto"/>
        <w:rPr>
          <w:b w:val="1"/>
          <w:sz w:val="24"/>
          <w:szCs w:val="24"/>
        </w:rPr>
      </w:pPr>
      <w:r w:rsidDel="00000000" w:rsidR="00000000" w:rsidRPr="00000000">
        <w:rPr>
          <w:rtl w:val="0"/>
        </w:rPr>
      </w:r>
    </w:p>
    <w:p w:rsidR="00000000" w:rsidDel="00000000" w:rsidP="00000000" w:rsidRDefault="00000000" w:rsidRPr="00000000" w14:paraId="00000010">
      <w:pPr>
        <w:spacing w:after="0" w:line="360" w:lineRule="auto"/>
        <w:rPr>
          <w:b w:val="1"/>
          <w:sz w:val="24"/>
          <w:szCs w:val="24"/>
        </w:rPr>
      </w:pPr>
      <w:r w:rsidDel="00000000" w:rsidR="00000000" w:rsidRPr="00000000">
        <w:rPr>
          <w:b w:val="1"/>
          <w:sz w:val="24"/>
          <w:szCs w:val="24"/>
          <w:rtl w:val="0"/>
        </w:rPr>
        <w:t xml:space="preserve">Akronim: </w:t>
        <w:tab/>
        <w:tab/>
        <w:tab/>
      </w:r>
      <w:r w:rsidDel="00000000" w:rsidR="00000000" w:rsidRPr="00000000">
        <w:rPr>
          <w:sz w:val="24"/>
          <w:szCs w:val="24"/>
          <w:rtl w:val="0"/>
        </w:rPr>
        <w:t xml:space="preserve">EU-CERT</w:t>
      </w:r>
      <w:r w:rsidDel="00000000" w:rsidR="00000000" w:rsidRPr="00000000">
        <w:rPr>
          <w:rtl w:val="0"/>
        </w:rPr>
      </w:r>
    </w:p>
    <w:p w:rsidR="00000000" w:rsidDel="00000000" w:rsidP="00000000" w:rsidRDefault="00000000" w:rsidRPr="00000000" w14:paraId="00000011">
      <w:pPr>
        <w:spacing w:after="0" w:line="360" w:lineRule="auto"/>
        <w:rPr>
          <w:sz w:val="24"/>
          <w:szCs w:val="24"/>
        </w:rPr>
      </w:pPr>
      <w:r w:rsidDel="00000000" w:rsidR="00000000" w:rsidRPr="00000000">
        <w:rPr>
          <w:b w:val="1"/>
          <w:sz w:val="24"/>
          <w:szCs w:val="24"/>
          <w:rtl w:val="0"/>
        </w:rPr>
        <w:t xml:space="preserve">Referentni broj: </w:t>
        <w:tab/>
        <w:t xml:space="preserve"> </w:t>
        <w:tab/>
      </w:r>
      <w:r w:rsidDel="00000000" w:rsidR="00000000" w:rsidRPr="00000000">
        <w:rPr>
          <w:sz w:val="24"/>
          <w:szCs w:val="24"/>
          <w:rtl w:val="0"/>
        </w:rPr>
        <w:t xml:space="preserve">2021-1-DE02-KA220-ADU-000033541 </w:t>
      </w:r>
    </w:p>
    <w:p w:rsidR="00000000" w:rsidDel="00000000" w:rsidP="00000000" w:rsidRDefault="00000000" w:rsidRPr="00000000" w14:paraId="00000012">
      <w:pPr>
        <w:spacing w:after="0" w:line="360" w:lineRule="auto"/>
        <w:rPr>
          <w:sz w:val="24"/>
          <w:szCs w:val="24"/>
        </w:rPr>
      </w:pPr>
      <w:r w:rsidDel="00000000" w:rsidR="00000000" w:rsidRPr="00000000">
        <w:rPr>
          <w:b w:val="1"/>
          <w:sz w:val="24"/>
          <w:szCs w:val="24"/>
          <w:rtl w:val="0"/>
        </w:rPr>
        <w:t xml:space="preserve">Trajanje projekta:</w:t>
      </w:r>
      <w:r w:rsidDel="00000000" w:rsidR="00000000" w:rsidRPr="00000000">
        <w:rPr>
          <w:sz w:val="24"/>
          <w:szCs w:val="24"/>
          <w:rtl w:val="0"/>
        </w:rPr>
        <w:t xml:space="preserve"> </w:t>
        <w:tab/>
        <w:tab/>
        <w:t xml:space="preserve">01.02.2022 – 31.05.2024 </w:t>
      </w:r>
      <w:r w:rsidDel="00000000" w:rsidR="00000000" w:rsidRPr="00000000">
        <w:rPr>
          <w:b w:val="1"/>
          <w:sz w:val="24"/>
          <w:szCs w:val="24"/>
          <w:rtl w:val="0"/>
        </w:rPr>
        <w:t xml:space="preserve">(28 mjesec) </w:t>
      </w:r>
      <w:r w:rsidDel="00000000" w:rsidR="00000000" w:rsidRPr="00000000">
        <w:rPr>
          <w:rtl w:val="0"/>
        </w:rPr>
      </w:r>
    </w:p>
    <w:p w:rsidR="00000000" w:rsidDel="00000000" w:rsidP="00000000" w:rsidRDefault="00000000" w:rsidRPr="00000000" w14:paraId="00000013">
      <w:pPr>
        <w:spacing w:after="0" w:line="360" w:lineRule="auto"/>
        <w:ind w:hanging="2120"/>
        <w:rPr>
          <w:sz w:val="24"/>
          <w:szCs w:val="24"/>
        </w:rPr>
      </w:pPr>
      <w:r w:rsidDel="00000000" w:rsidR="00000000" w:rsidRPr="00000000">
        <w:rPr>
          <w:b w:val="1"/>
          <w:sz w:val="24"/>
          <w:szCs w:val="24"/>
          <w:rtl w:val="0"/>
        </w:rPr>
        <w:t xml:space="preserve">Kraj</w:t>
        <w:tab/>
        <w:t xml:space="preserve">projektni partneri: </w:t>
        <w:tab/>
        <w:tab/>
      </w:r>
      <w:r w:rsidDel="00000000" w:rsidR="00000000" w:rsidRPr="00000000">
        <w:rPr>
          <w:sz w:val="24"/>
          <w:szCs w:val="24"/>
          <w:rtl w:val="0"/>
        </w:rPr>
        <w:t xml:space="preserve">University of Paderborn (P0), Njemačka (Koordinator)</w:t>
      </w:r>
    </w:p>
    <w:p w:rsidR="00000000" w:rsidDel="00000000" w:rsidP="00000000" w:rsidRDefault="00000000" w:rsidRPr="00000000" w14:paraId="00000014">
      <w:pPr>
        <w:spacing w:after="0" w:line="360" w:lineRule="auto"/>
        <w:ind w:hanging="2120"/>
        <w:rPr>
          <w:sz w:val="24"/>
          <w:szCs w:val="24"/>
        </w:rPr>
      </w:pPr>
      <w:r w:rsidDel="00000000" w:rsidR="00000000" w:rsidRPr="00000000">
        <w:rPr>
          <w:sz w:val="24"/>
          <w:szCs w:val="24"/>
          <w:rtl w:val="0"/>
        </w:rPr>
        <w:tab/>
        <w:tab/>
        <w:tab/>
        <w:tab/>
        <w:tab/>
        <w:t xml:space="preserve">Ingenious Knowledge GmbH, Njemačka (P1)</w:t>
      </w:r>
    </w:p>
    <w:p w:rsidR="00000000" w:rsidDel="00000000" w:rsidP="00000000" w:rsidRDefault="00000000" w:rsidRPr="00000000" w14:paraId="00000015">
      <w:pPr>
        <w:spacing w:after="0" w:line="360" w:lineRule="auto"/>
        <w:ind w:left="2124" w:firstLine="707.9999999999998"/>
        <w:rPr>
          <w:sz w:val="24"/>
          <w:szCs w:val="24"/>
        </w:rPr>
      </w:pPr>
      <w:r w:rsidDel="00000000" w:rsidR="00000000" w:rsidRPr="00000000">
        <w:rPr>
          <w:sz w:val="24"/>
          <w:szCs w:val="24"/>
          <w:rtl w:val="0"/>
        </w:rPr>
        <w:t xml:space="preserve">RUTIS-Associa-Azsocia-Clao Rede de Universidades da Terceira Idade, Portugal (P2) </w:t>
      </w:r>
    </w:p>
    <w:p w:rsidR="00000000" w:rsidDel="00000000" w:rsidP="00000000" w:rsidRDefault="00000000" w:rsidRPr="00000000" w14:paraId="00000016">
      <w:pPr>
        <w:spacing w:after="0" w:line="360" w:lineRule="auto"/>
        <w:ind w:left="2124" w:firstLine="707.9999999999998"/>
        <w:rPr>
          <w:sz w:val="24"/>
          <w:szCs w:val="24"/>
        </w:rPr>
      </w:pPr>
      <w:r w:rsidDel="00000000" w:rsidR="00000000" w:rsidRPr="00000000">
        <w:rPr>
          <w:sz w:val="24"/>
          <w:szCs w:val="24"/>
          <w:rtl w:val="0"/>
        </w:rPr>
        <w:t xml:space="preserve">TIR Consulting Group j.d.o.o., Hrvatska (P3)</w:t>
      </w:r>
    </w:p>
    <w:p w:rsidR="00000000" w:rsidDel="00000000" w:rsidP="00000000" w:rsidRDefault="00000000" w:rsidRPr="00000000" w14:paraId="00000017">
      <w:pPr>
        <w:spacing w:after="0" w:line="360" w:lineRule="auto"/>
        <w:ind w:left="2124" w:firstLine="707.9999999999998"/>
        <w:rPr>
          <w:sz w:val="24"/>
          <w:szCs w:val="24"/>
        </w:rPr>
      </w:pPr>
      <w:r w:rsidDel="00000000" w:rsidR="00000000" w:rsidRPr="00000000">
        <w:rPr>
          <w:sz w:val="24"/>
          <w:szCs w:val="24"/>
          <w:rtl w:val="0"/>
        </w:rPr>
        <w:t xml:space="preserve">Esquare, Francuska (P4)</w:t>
      </w:r>
    </w:p>
    <w:p w:rsidR="00000000" w:rsidDel="00000000" w:rsidP="00000000" w:rsidRDefault="00000000" w:rsidRPr="00000000" w14:paraId="00000018">
      <w:pPr>
        <w:spacing w:after="0" w:line="360" w:lineRule="auto"/>
        <w:ind w:left="2124" w:firstLine="707.9999999999998"/>
        <w:rPr>
          <w:sz w:val="24"/>
          <w:szCs w:val="24"/>
        </w:rPr>
      </w:pPr>
      <w:r w:rsidDel="00000000" w:rsidR="00000000" w:rsidRPr="00000000">
        <w:rPr>
          <w:sz w:val="24"/>
          <w:szCs w:val="24"/>
          <w:rtl w:val="0"/>
        </w:rPr>
        <w:t xml:space="preserve">STANDO LTD Cipar (P5)</w:t>
      </w:r>
    </w:p>
    <w:p w:rsidR="00000000" w:rsidDel="00000000" w:rsidP="00000000" w:rsidRDefault="00000000" w:rsidRPr="00000000" w14:paraId="00000019">
      <w:pPr>
        <w:spacing w:after="0" w:line="360" w:lineRule="auto"/>
        <w:ind w:left="2124" w:firstLine="707.9999999999998"/>
        <w:rPr>
          <w:sz w:val="24"/>
          <w:szCs w:val="24"/>
        </w:rPr>
      </w:pPr>
      <w:r w:rsidDel="00000000" w:rsidR="00000000" w:rsidRPr="00000000">
        <w:rPr>
          <w:rFonts w:ascii="Arial" w:cs="Arial" w:eastAsia="Arial" w:hAnsi="Arial"/>
          <w:color w:val="00205b"/>
          <w:rtl w:val="0"/>
        </w:rPr>
        <w:br w:type="textWrapping"/>
      </w:r>
      <w:r w:rsidDel="00000000" w:rsidR="00000000" w:rsidRPr="00000000">
        <w:rPr>
          <w:rtl w:val="0"/>
        </w:rPr>
      </w:r>
    </w:p>
    <w:p w:rsidR="00000000" w:rsidDel="00000000" w:rsidP="00000000" w:rsidRDefault="00000000" w:rsidRPr="00000000" w14:paraId="0000001A">
      <w:pPr>
        <w:spacing w:after="0" w:line="360" w:lineRule="auto"/>
        <w:ind w:firstLine="704"/>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pStyle w:val="Heading1"/>
        <w:spacing w:after="0" w:line="240" w:lineRule="auto"/>
        <w:jc w:val="both"/>
        <w:rPr/>
      </w:pPr>
      <w:bookmarkStart w:colFirst="0" w:colLast="0" w:name="_heading=h.vtfm91hqra03" w:id="2"/>
      <w:bookmarkEnd w:id="2"/>
      <w:r w:rsidDel="00000000" w:rsidR="00000000" w:rsidRPr="00000000">
        <w:rPr>
          <w:rtl w:val="0"/>
        </w:rPr>
        <w:t xml:space="preserve">Sadržaj</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widowControl w:val="0"/>
            <w:tabs>
              <w:tab w:val="right" w:leader="none" w:pos="9025.511811023624"/>
            </w:tabs>
            <w:spacing w:after="0" w:before="60" w:line="240" w:lineRule="auto"/>
            <w:rPr>
              <w:b w:val="1"/>
              <w:color w:val="000000"/>
              <w:sz w:val="26"/>
              <w:szCs w:val="26"/>
              <w:u w:val="none"/>
            </w:rPr>
          </w:pPr>
          <w:r w:rsidDel="00000000" w:rsidR="00000000" w:rsidRPr="00000000">
            <w:fldChar w:fldCharType="begin"/>
            <w:instrText xml:space="preserve"> TOC \h \u \z \t "Heading 1,1,Heading 2,2,Heading 3,3,Heading 4,4,Heading 5,5,Heading 6,6,"</w:instrText>
            <w:fldChar w:fldCharType="separate"/>
          </w:r>
          <w:hyperlink w:anchor="_heading=h.vtfm91hqra03">
            <w:r w:rsidDel="00000000" w:rsidR="00000000" w:rsidRPr="00000000">
              <w:rPr>
                <w:b w:val="1"/>
                <w:color w:val="000000"/>
                <w:sz w:val="26"/>
                <w:szCs w:val="26"/>
                <w:u w:val="none"/>
                <w:rtl w:val="0"/>
              </w:rPr>
              <w:tab/>
            </w:r>
          </w:hyperlink>
          <w:r w:rsidDel="00000000" w:rsidR="00000000" w:rsidRPr="00000000">
            <w:fldChar w:fldCharType="begin"/>
            <w:instrText xml:space="preserve"> PAGEREF _heading=h.vtfm91hqra03 \h </w:instrText>
            <w:fldChar w:fldCharType="separate"/>
          </w:r>
          <w:r w:rsidDel="00000000" w:rsidR="00000000" w:rsidRPr="00000000">
            <w:rPr>
              <w:b w:val="1"/>
              <w:sz w:val="26"/>
              <w:szCs w:val="26"/>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0">
          <w:pPr>
            <w:widowControl w:val="0"/>
            <w:tabs>
              <w:tab w:val="right" w:leader="none" w:pos="9025.511811023624"/>
            </w:tabs>
            <w:spacing w:after="0" w:before="60" w:line="240" w:lineRule="auto"/>
            <w:rPr>
              <w:b w:val="1"/>
              <w:color w:val="000000"/>
              <w:sz w:val="26"/>
              <w:szCs w:val="26"/>
              <w:u w:val="none"/>
            </w:rPr>
          </w:pPr>
          <w:hyperlink w:anchor="_heading=h.8ldpacov3jmj">
            <w:r w:rsidDel="00000000" w:rsidR="00000000" w:rsidRPr="00000000">
              <w:rPr>
                <w:b w:val="1"/>
                <w:color w:val="000000"/>
                <w:sz w:val="26"/>
                <w:szCs w:val="26"/>
                <w:u w:val="none"/>
                <w:rtl w:val="0"/>
              </w:rPr>
              <w:t xml:space="preserve">1 Uvod – Izvršni Sažetak</w:t>
              <w:tab/>
            </w:r>
          </w:hyperlink>
          <w:r w:rsidDel="00000000" w:rsidR="00000000" w:rsidRPr="00000000">
            <w:fldChar w:fldCharType="begin"/>
            <w:instrText xml:space="preserve"> PAGEREF _heading=h.8ldpacov3jmj \h </w:instrText>
            <w:fldChar w:fldCharType="separate"/>
          </w:r>
          <w:r w:rsidDel="00000000" w:rsidR="00000000" w:rsidRPr="00000000">
            <w:rPr>
              <w:b w:val="1"/>
              <w:sz w:val="26"/>
              <w:szCs w:val="26"/>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widowControl w:val="0"/>
            <w:tabs>
              <w:tab w:val="right" w:leader="none" w:pos="9025.511811023624"/>
            </w:tabs>
            <w:spacing w:after="0" w:before="60" w:line="240" w:lineRule="auto"/>
            <w:rPr>
              <w:b w:val="1"/>
              <w:color w:val="000000"/>
              <w:sz w:val="26"/>
              <w:szCs w:val="26"/>
              <w:u w:val="none"/>
            </w:rPr>
          </w:pPr>
          <w:hyperlink w:anchor="_heading=h.r696guj179l9">
            <w:r w:rsidDel="00000000" w:rsidR="00000000" w:rsidRPr="00000000">
              <w:rPr>
                <w:b w:val="1"/>
                <w:color w:val="000000"/>
                <w:sz w:val="26"/>
                <w:szCs w:val="26"/>
                <w:u w:val="none"/>
                <w:rtl w:val="0"/>
              </w:rPr>
              <w:t xml:space="preserve">2 Kratki pregled EU-CERT-a</w:t>
              <w:tab/>
            </w:r>
          </w:hyperlink>
          <w:r w:rsidDel="00000000" w:rsidR="00000000" w:rsidRPr="00000000">
            <w:fldChar w:fldCharType="begin"/>
            <w:instrText xml:space="preserve"> PAGEREF _heading=h.r696guj179l9 \h </w:instrText>
            <w:fldChar w:fldCharType="separate"/>
          </w:r>
          <w:r w:rsidDel="00000000" w:rsidR="00000000" w:rsidRPr="00000000">
            <w:rPr>
              <w:b w:val="1"/>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widowControl w:val="0"/>
            <w:tabs>
              <w:tab w:val="right" w:leader="none" w:pos="9025.511811023624"/>
            </w:tabs>
            <w:spacing w:after="0" w:before="60" w:line="240" w:lineRule="auto"/>
            <w:ind w:left="360" w:firstLine="0"/>
            <w:rPr>
              <w:color w:val="000000"/>
              <w:sz w:val="26"/>
              <w:szCs w:val="26"/>
              <w:u w:val="none"/>
            </w:rPr>
          </w:pPr>
          <w:hyperlink w:anchor="_heading=h.bwaxmbmht4n3">
            <w:r w:rsidDel="00000000" w:rsidR="00000000" w:rsidRPr="00000000">
              <w:rPr>
                <w:color w:val="000000"/>
                <w:sz w:val="26"/>
                <w:szCs w:val="26"/>
                <w:u w:val="none"/>
                <w:rtl w:val="0"/>
              </w:rPr>
              <w:t xml:space="preserve">2.1 Projekt EU-CERT</w:t>
              <w:tab/>
            </w:r>
          </w:hyperlink>
          <w:r w:rsidDel="00000000" w:rsidR="00000000" w:rsidRPr="00000000">
            <w:fldChar w:fldCharType="begin"/>
            <w:instrText xml:space="preserve"> PAGEREF _heading=h.bwaxmbmht4n3 \h </w:instrText>
            <w:fldChar w:fldCharType="separate"/>
          </w:r>
          <w:r w:rsidDel="00000000" w:rsidR="00000000" w:rsidRPr="00000000">
            <w:rPr>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widowControl w:val="0"/>
            <w:tabs>
              <w:tab w:val="right" w:leader="none" w:pos="9025.511811023624"/>
            </w:tabs>
            <w:spacing w:after="0" w:before="60" w:line="240" w:lineRule="auto"/>
            <w:ind w:left="360" w:firstLine="0"/>
            <w:rPr>
              <w:color w:val="000000"/>
              <w:sz w:val="26"/>
              <w:szCs w:val="26"/>
              <w:u w:val="none"/>
            </w:rPr>
          </w:pPr>
          <w:hyperlink w:anchor="_heading=h.ac6sabi4vbvy">
            <w:r w:rsidDel="00000000" w:rsidR="00000000" w:rsidRPr="00000000">
              <w:rPr>
                <w:color w:val="000000"/>
                <w:sz w:val="26"/>
                <w:szCs w:val="26"/>
                <w:u w:val="none"/>
                <w:rtl w:val="0"/>
              </w:rPr>
              <w:t xml:space="preserve">2.2 Važnost EU-CERT</w:t>
              <w:tab/>
            </w:r>
          </w:hyperlink>
          <w:r w:rsidDel="00000000" w:rsidR="00000000" w:rsidRPr="00000000">
            <w:fldChar w:fldCharType="begin"/>
            <w:instrText xml:space="preserve"> PAGEREF _heading=h.ac6sabi4vbvy \h </w:instrText>
            <w:fldChar w:fldCharType="separate"/>
          </w:r>
          <w:r w:rsidDel="00000000" w:rsidR="00000000" w:rsidRPr="00000000">
            <w:rPr>
              <w:sz w:val="26"/>
              <w:szCs w:val="26"/>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widowControl w:val="0"/>
            <w:tabs>
              <w:tab w:val="right" w:leader="none" w:pos="9025.511811023624"/>
            </w:tabs>
            <w:spacing w:after="0" w:before="60" w:line="240" w:lineRule="auto"/>
            <w:ind w:left="360" w:firstLine="0"/>
            <w:rPr>
              <w:color w:val="000000"/>
              <w:sz w:val="26"/>
              <w:szCs w:val="26"/>
              <w:u w:val="none"/>
            </w:rPr>
          </w:pPr>
          <w:hyperlink w:anchor="_heading=h.r9n3ne7t4i27">
            <w:r w:rsidDel="00000000" w:rsidR="00000000" w:rsidRPr="00000000">
              <w:rPr>
                <w:color w:val="000000"/>
                <w:sz w:val="26"/>
                <w:szCs w:val="26"/>
                <w:u w:val="none"/>
                <w:rtl w:val="0"/>
              </w:rPr>
              <w:t xml:space="preserve">2.3 Postignuća EU-CERT projekta</w:t>
              <w:tab/>
            </w:r>
          </w:hyperlink>
          <w:r w:rsidDel="00000000" w:rsidR="00000000" w:rsidRPr="00000000">
            <w:fldChar w:fldCharType="begin"/>
            <w:instrText xml:space="preserve"> PAGEREF _heading=h.r9n3ne7t4i27 \h </w:instrText>
            <w:fldChar w:fldCharType="separate"/>
          </w:r>
          <w:r w:rsidDel="00000000" w:rsidR="00000000" w:rsidRPr="00000000">
            <w:rPr>
              <w:sz w:val="26"/>
              <w:szCs w:val="26"/>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5">
          <w:pPr>
            <w:widowControl w:val="0"/>
            <w:tabs>
              <w:tab w:val="right" w:leader="none" w:pos="9025.511811023624"/>
            </w:tabs>
            <w:spacing w:after="0" w:before="60" w:line="240" w:lineRule="auto"/>
            <w:rPr>
              <w:b w:val="1"/>
              <w:color w:val="000000"/>
              <w:sz w:val="26"/>
              <w:szCs w:val="26"/>
              <w:u w:val="none"/>
            </w:rPr>
          </w:pPr>
          <w:hyperlink w:anchor="_heading=h.gs7l3c92ngvs">
            <w:r w:rsidDel="00000000" w:rsidR="00000000" w:rsidRPr="00000000">
              <w:rPr>
                <w:b w:val="1"/>
                <w:color w:val="000000"/>
                <w:sz w:val="26"/>
                <w:szCs w:val="26"/>
                <w:u w:val="none"/>
                <w:rtl w:val="0"/>
              </w:rPr>
              <w:t xml:space="preserve">3. Kako EU-CERT doprinosi ukupnom Okviru EU-a</w:t>
              <w:tab/>
            </w:r>
          </w:hyperlink>
          <w:r w:rsidDel="00000000" w:rsidR="00000000" w:rsidRPr="00000000">
            <w:fldChar w:fldCharType="begin"/>
            <w:instrText xml:space="preserve"> PAGEREF _heading=h.gs7l3c92ngvs \h </w:instrText>
            <w:fldChar w:fldCharType="separate"/>
          </w:r>
          <w:r w:rsidDel="00000000" w:rsidR="00000000" w:rsidRPr="00000000">
            <w:rPr>
              <w:b w:val="1"/>
              <w:sz w:val="26"/>
              <w:szCs w:val="26"/>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none" w:pos="9025.511811023624"/>
            </w:tabs>
            <w:spacing w:after="0" w:before="60" w:line="240" w:lineRule="auto"/>
            <w:rPr>
              <w:b w:val="1"/>
              <w:color w:val="000000"/>
              <w:sz w:val="26"/>
              <w:szCs w:val="26"/>
              <w:u w:val="none"/>
            </w:rPr>
          </w:pPr>
          <w:hyperlink w:anchor="_heading=h.3mu6dnwws2i7">
            <w:r w:rsidDel="00000000" w:rsidR="00000000" w:rsidRPr="00000000">
              <w:rPr>
                <w:b w:val="1"/>
                <w:color w:val="000000"/>
                <w:sz w:val="26"/>
                <w:szCs w:val="26"/>
                <w:u w:val="none"/>
                <w:rtl w:val="0"/>
              </w:rPr>
              <w:t xml:space="preserve">4. Potpora akreditaciji EU-CERT u EU-u i šire</w:t>
              <w:tab/>
            </w:r>
          </w:hyperlink>
          <w:r w:rsidDel="00000000" w:rsidR="00000000" w:rsidRPr="00000000">
            <w:fldChar w:fldCharType="begin"/>
            <w:instrText xml:space="preserve"> PAGEREF _heading=h.3mu6dnwws2i7 \h </w:instrText>
            <w:fldChar w:fldCharType="separate"/>
          </w:r>
          <w:r w:rsidDel="00000000" w:rsidR="00000000" w:rsidRPr="00000000">
            <w:rPr>
              <w:b w:val="1"/>
              <w:sz w:val="26"/>
              <w:szCs w:val="26"/>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9025.511811023624"/>
            </w:tabs>
            <w:spacing w:after="0" w:before="60" w:line="240" w:lineRule="auto"/>
            <w:rPr>
              <w:b w:val="1"/>
              <w:color w:val="000000"/>
              <w:sz w:val="26"/>
              <w:szCs w:val="26"/>
              <w:u w:val="none"/>
            </w:rPr>
          </w:pPr>
          <w:hyperlink w:anchor="_heading=h.8rd08p3aj2ru">
            <w:r w:rsidDel="00000000" w:rsidR="00000000" w:rsidRPr="00000000">
              <w:rPr>
                <w:b w:val="1"/>
                <w:color w:val="000000"/>
                <w:sz w:val="26"/>
                <w:szCs w:val="26"/>
                <w:u w:val="none"/>
                <w:rtl w:val="0"/>
              </w:rPr>
              <w:t xml:space="preserve">5. Zaključak</w:t>
              <w:tab/>
            </w:r>
          </w:hyperlink>
          <w:r w:rsidDel="00000000" w:rsidR="00000000" w:rsidRPr="00000000">
            <w:fldChar w:fldCharType="begin"/>
            <w:instrText xml:space="preserve"> PAGEREF _heading=h.8rd08p3aj2ru \h </w:instrText>
            <w:fldChar w:fldCharType="separate"/>
          </w:r>
          <w:r w:rsidDel="00000000" w:rsidR="00000000" w:rsidRPr="00000000">
            <w:rPr>
              <w:b w:val="1"/>
              <w:sz w:val="26"/>
              <w:szCs w:val="26"/>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spacing w:after="0"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line="240" w:lineRule="auto"/>
        <w:jc w:val="both"/>
        <w:rPr/>
      </w:pPr>
      <w:r w:rsidDel="00000000" w:rsidR="00000000" w:rsidRPr="00000000">
        <w:rPr>
          <w:rtl w:val="0"/>
        </w:rPr>
      </w:r>
    </w:p>
    <w:p w:rsidR="00000000" w:rsidDel="00000000" w:rsidP="00000000" w:rsidRDefault="00000000" w:rsidRPr="00000000" w14:paraId="0000002D">
      <w:pPr>
        <w:pStyle w:val="Heading1"/>
        <w:numPr>
          <w:ilvl w:val="0"/>
          <w:numId w:val="7"/>
        </w:numPr>
        <w:ind w:left="1440" w:hanging="360"/>
        <w:jc w:val="both"/>
        <w:rPr>
          <w:u w:val="none"/>
          <w:vertAlign w:val="baseline"/>
        </w:rPr>
      </w:pPr>
      <w:bookmarkStart w:colFirst="0" w:colLast="0" w:name="_heading=h.8ldpacov3jmj" w:id="3"/>
      <w:bookmarkEnd w:id="3"/>
      <w:r w:rsidDel="00000000" w:rsidR="00000000" w:rsidRPr="00000000">
        <w:rPr>
          <w:rtl w:val="0"/>
        </w:rPr>
        <w:t xml:space="preserve">Uvod-Short Izvršni Sažetak</w:t>
      </w:r>
      <w:r w:rsidDel="00000000" w:rsidR="00000000" w:rsidRPr="00000000">
        <w:rPr>
          <w:rtl w:val="0"/>
        </w:rPr>
      </w:r>
    </w:p>
    <w:p w:rsidR="00000000" w:rsidDel="00000000" w:rsidP="00000000" w:rsidRDefault="00000000" w:rsidRPr="00000000" w14:paraId="0000002E">
      <w:pPr>
        <w:ind w:left="720" w:firstLine="0"/>
        <w:rPr>
          <w:vertAlign w:val="baseline"/>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Posljednjih godina EU je razvila politike i smjernice za jačanje održive konkurentnosti diljem država članica. Kako bi se izgradilo povjerenje i fleksibilnost među državama članicama te omogućilo pojedincima stjecanje, ažuriranje i poboljšanje kompetencija i vještina, EU je utvrdio niz preporuka za pružatelje obrazovanja odraslih i pojedince. (Rezolucija Vijeća o strateškom okviru za europsku suradnju u obrazovanju i osposobljavanju prema Europskom prostoru obrazovanja i šire (2021-2030) 2021/C 66/01)</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Brojna istraživanja naglašavaju prednosti cjeloživotnog učenja odraslih. Pokazalo se da slijedi put cjeloživotnog učenja; osobni, društveni i gospodarski povrat. Sudjelovanje odraslih u cjeloživotnom učenju razlikuje se diljem Europe. S raznolikom populacijom i demografijom, u nekim zemljama sudjelovanje se uvelike razlikuje. (Učenje i vještine za odrasle, Dokument o politici EAEA-e, 2018/01).</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t xml:space="preserve">Projekt EU-CERT usmjeren je na Obrazovanje odraslih diljem EU-a putem programa akreditacije i certifikacije. Projektom koji podupire Erasmus+ potkrepljuje se niz inicijativa koje je razvila EU. Analiza potreba u cijelom konzorciju EU-CERT (organizacije iz Njemačke, Hrvatske, Cipra, Francuske i Portugala) otkrila je da postoji potreba za transparentnošću za upravljanje vizijom EU-a o Europskom obrazovnom području 2025 (Proposal for a Council for the Council on the European pristup mikro-kreditalima za cjeloživotno učenje i zapošljivost, Vijeće Europske unije, 25. svibnja 2022., Prijedlog usvojen 16. lipnja 2022.)</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Osiguravanjem zajedničkih standarda i kvalitete ovim se prijedlogom pružaju fleksibilne i uključive mogućnosti učenja za sve pojedince. Analiza potreba konzorcija EU-CERT među 200 instruktora u 50 pružatelja usluga obrazovanja odraslih pokazala je da 87% korisnika žudi za transparentnim postupkom akreditacije kako bi poboljšali svoje odredbe o obrazovanju odraslih i konkurentnost diljem EU-a i šire. Akreditacijski sustav EU-CERT temelji se na jasnim kriterijima i solidnom, zajednički razvijenom postupku akreditacije i certifikacije. Stoga EU-CERT podržava standarde EU-a i zajedničke vrijednosti u obrazovanju odraslih. Potiče se i sudjelovanje europskih odgajatelja odraslih u visokokvalitetnoj mreži obrazovanja odraslih kojom se unapređuju i održavaju kvaliteta i standardi EU-a. Kao sustav OER, EU-CERT Tool dodatno nudi transparentnost i vidljivost diljem Europe i šire.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spacing w:after="0" w:line="240" w:lineRule="auto"/>
        <w:ind w:left="432" w:firstLine="0"/>
        <w:jc w:val="both"/>
        <w:rPr/>
      </w:pPr>
      <w:bookmarkStart w:colFirst="0" w:colLast="0" w:name="_heading=h.xk991bnpk106" w:id="4"/>
      <w:bookmarkEnd w:id="4"/>
      <w:r w:rsidDel="00000000" w:rsidR="00000000" w:rsidRPr="00000000">
        <w:rPr>
          <w:rtl w:val="0"/>
        </w:rPr>
      </w:r>
    </w:p>
    <w:p w:rsidR="00000000" w:rsidDel="00000000" w:rsidP="00000000" w:rsidRDefault="00000000" w:rsidRPr="00000000" w14:paraId="0000003D">
      <w:pPr>
        <w:pStyle w:val="Heading1"/>
        <w:numPr>
          <w:ilvl w:val="0"/>
          <w:numId w:val="7"/>
        </w:numPr>
        <w:spacing w:after="0" w:line="240" w:lineRule="auto"/>
        <w:ind w:left="1440" w:hanging="360"/>
        <w:jc w:val="both"/>
        <w:rPr>
          <w:u w:val="none"/>
        </w:rPr>
      </w:pPr>
      <w:bookmarkStart w:colFirst="0" w:colLast="0" w:name="_heading=h.r696guj179l9" w:id="5"/>
      <w:bookmarkEnd w:id="5"/>
      <w:r w:rsidDel="00000000" w:rsidR="00000000" w:rsidRPr="00000000">
        <w:rPr>
          <w:rtl w:val="0"/>
        </w:rPr>
        <w:t xml:space="preserve"> Kratki pregled EU-CERT-a</w:t>
      </w:r>
      <w:r w:rsidDel="00000000" w:rsidR="00000000" w:rsidRPr="00000000">
        <w:rPr>
          <w:rtl w:val="0"/>
        </w:rPr>
      </w:r>
    </w:p>
    <w:p w:rsidR="00000000" w:rsidDel="00000000" w:rsidP="00000000" w:rsidRDefault="00000000" w:rsidRPr="00000000" w14:paraId="0000003E">
      <w:pPr>
        <w:pStyle w:val="Heading2"/>
        <w:spacing w:after="0" w:line="240" w:lineRule="auto"/>
        <w:ind w:left="0" w:firstLine="0"/>
        <w:jc w:val="both"/>
        <w:rPr/>
      </w:pPr>
      <w:bookmarkStart w:colFirst="0" w:colLast="0" w:name="_heading=h.3thmheg3rb3g" w:id="6"/>
      <w:bookmarkEnd w:id="6"/>
      <w:r w:rsidDel="00000000" w:rsidR="00000000" w:rsidRPr="00000000">
        <w:rPr>
          <w:rtl w:val="0"/>
        </w:rPr>
      </w:r>
    </w:p>
    <w:p w:rsidR="00000000" w:rsidDel="00000000" w:rsidP="00000000" w:rsidRDefault="00000000" w:rsidRPr="00000000" w14:paraId="0000003F">
      <w:pPr>
        <w:pStyle w:val="Heading2"/>
        <w:numPr>
          <w:ilvl w:val="1"/>
          <w:numId w:val="18"/>
        </w:numPr>
        <w:spacing w:after="0" w:line="240" w:lineRule="auto"/>
        <w:ind w:left="1152" w:hanging="720"/>
        <w:jc w:val="both"/>
        <w:rPr/>
      </w:pPr>
      <w:bookmarkStart w:colFirst="0" w:colLast="0" w:name="_heading=h.bwaxmbmht4n3" w:id="7"/>
      <w:bookmarkEnd w:id="7"/>
      <w:r w:rsidDel="00000000" w:rsidR="00000000" w:rsidRPr="00000000">
        <w:rPr>
          <w:vertAlign w:val="baseline"/>
          <w:rtl w:val="0"/>
        </w:rPr>
        <w:t xml:space="preserve">E</w:t>
      </w:r>
      <w:r w:rsidDel="00000000" w:rsidR="00000000" w:rsidRPr="00000000">
        <w:rPr>
          <w:rtl w:val="0"/>
        </w:rPr>
        <w:t xml:space="preserve">U-U</w:t>
      </w:r>
      <w:r w:rsidDel="00000000" w:rsidR="00000000" w:rsidRPr="00000000">
        <w:rPr>
          <w:vertAlign w:val="baseline"/>
          <w:rtl w:val="0"/>
        </w:rPr>
        <w:t xml:space="preserve">CERT Projekt</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EU-CERT (European Certificates and Accreditation for European Projects) financira Europska unija u okviruKljučna Akcija 2 za Strateška partnerstva u sektoru obrazovanja odraslih. EU-CERT konzorcija obuhvaća sljedeće organizacije: Sveučilište Paderborn (Njemačka kao koordinator) i partnere iz Hrvatske, TIR Consulting Group j.d.o.o, Cipar, STANDO Ltd, Francuska, ESquare, Francuska, RuTIS - Associa-Cancao Rede de Universidades da Terceira Idade plus tehnički partner iz Njemačke, Ingenious Knowledge GmBH.  </w:t>
      </w:r>
    </w:p>
    <w:p w:rsidR="00000000" w:rsidDel="00000000" w:rsidP="00000000" w:rsidRDefault="00000000" w:rsidRPr="00000000" w14:paraId="00000042">
      <w:pPr>
        <w:rPr/>
      </w:pPr>
      <w:r w:rsidDel="00000000" w:rsidR="00000000" w:rsidRPr="00000000">
        <w:rPr>
          <w:rtl w:val="0"/>
        </w:rPr>
        <w:t xml:space="preserve">Projekt EU-CERT obuhvaća 8 načela Adult Education 1) Samousmjeravanje 2) Učenje pomoću Doing 3) Relevance 4) Iskustvo 5) Korištenje svih osjetila 6) Praksa 7) Osobni razvoj 8) Uključivanje kao što je spomenula Sarah Cordiner (Službenica)</w:t>
      </w:r>
      <w:hyperlink r:id="rId8">
        <w:r w:rsidDel="00000000" w:rsidR="00000000" w:rsidRPr="00000000">
          <w:rPr>
            <w:color w:val="1155cc"/>
            <w:u w:val="single"/>
            <w:rtl w:val="0"/>
          </w:rPr>
          <w:t xml:space="preserve">https://sarahcordiner.com/the-8-fundamental-principles-of-adu/</w:t>
        </w:r>
      </w:hyperlink>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EU-CERT je usredotočen na razvoj snažnog sustava akreditacije koji može koristiti nekoliko dionika. Na temelju licencije Creative Commons Sharalike 4.0, EU-CERT Tool robustan je alat koji pružatelji usluga obrazovanja za odrasle mogu upotrebljavati sa sljedećim značajkama: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Otvorenost: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Otvorenost: OER bi trebao biti besplatno dostupan</w:t>
      </w:r>
      <w:r w:rsidDel="00000000" w:rsidR="00000000" w:rsidRPr="00000000">
        <w:rPr>
          <w:i w:val="0"/>
          <w:smallCaps w:val="0"/>
          <w:strike w:val="0"/>
          <w:color w:val="000000"/>
          <w:u w:val="none"/>
          <w:shd w:fill="auto" w:val="clear"/>
          <w:vertAlign w:val="baseline"/>
          <w:rtl w:val="0"/>
        </w:rPr>
        <w:t xml:space="preserve">, dostupan za korištenje, ponovnu uporabu i preraspodjelu od strane bilo koga, bez ikakvih ograničenja ili troškova.</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Točnost:</w:t>
      </w:r>
      <w:r w:rsidDel="00000000" w:rsidR="00000000" w:rsidRPr="00000000">
        <w:rPr>
          <w:i w:val="0"/>
          <w:smallCaps w:val="0"/>
          <w:strike w:val="0"/>
          <w:color w:val="000000"/>
          <w:u w:val="none"/>
          <w:shd w:fill="auto" w:val="clear"/>
          <w:vertAlign w:val="baseline"/>
          <w:rtl w:val="0"/>
        </w:rPr>
        <w:t xml:space="preserve"> OER bi trebao biti točan, ažuriran i utemeljen na pouzdanim izvorima informacija.</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Jasnoća:</w:t>
      </w:r>
      <w:r w:rsidDel="00000000" w:rsidR="00000000" w:rsidRPr="00000000">
        <w:rPr>
          <w:i w:val="0"/>
          <w:smallCaps w:val="0"/>
          <w:strike w:val="0"/>
          <w:color w:val="000000"/>
          <w:u w:val="none"/>
          <w:shd w:fill="auto" w:val="clear"/>
          <w:vertAlign w:val="baseline"/>
          <w:rtl w:val="0"/>
        </w:rPr>
        <w:t xml:space="preserve"> OER treba biti jasno napisan i dobro organiziran, s jasnim ciljevima i ishodima učenja.</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Pedagoška učinkovitost</w:t>
      </w:r>
      <w:r w:rsidDel="00000000" w:rsidR="00000000" w:rsidRPr="00000000">
        <w:rPr>
          <w:i w:val="0"/>
          <w:smallCaps w:val="0"/>
          <w:strike w:val="0"/>
          <w:color w:val="000000"/>
          <w:u w:val="none"/>
          <w:shd w:fill="auto" w:val="clear"/>
          <w:vertAlign w:val="baseline"/>
          <w:rtl w:val="0"/>
        </w:rPr>
        <w:t xml:space="preserve">: OER treba biti osmišljen kako bi se promicalo učinkovito učenje, koristeći odgovarajuće nastavne strategije i metode procjene.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Interaktivnost</w:t>
      </w:r>
      <w:r w:rsidDel="00000000" w:rsidR="00000000" w:rsidRPr="00000000">
        <w:rPr>
          <w:i w:val="0"/>
          <w:smallCaps w:val="0"/>
          <w:strike w:val="0"/>
          <w:color w:val="000000"/>
          <w:u w:val="none"/>
          <w:shd w:fill="auto" w:val="clear"/>
          <w:vertAlign w:val="baseline"/>
          <w:rtl w:val="0"/>
        </w:rPr>
        <w:t xml:space="preserve">: OER bi trebao biti interaktivan, zanimljiv i osmišljen za promicanje aktivnog učenja.</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Pristupačnost:</w:t>
      </w:r>
      <w:r w:rsidDel="00000000" w:rsidR="00000000" w:rsidRPr="00000000">
        <w:rPr>
          <w:i w:val="0"/>
          <w:smallCaps w:val="0"/>
          <w:strike w:val="0"/>
          <w:color w:val="000000"/>
          <w:u w:val="none"/>
          <w:shd w:fill="auto" w:val="clear"/>
          <w:vertAlign w:val="baseline"/>
          <w:rtl w:val="0"/>
        </w:rPr>
        <w:t xml:space="preserve"> OER bi trebao biti osmišljen tako da bude pristupačan svim učenicima ili posebno usmjerenoj ciljnoj skupini, uključujući osobe s invaliditetom ili različite stilove učenja.</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Tehnička kvaliteta:</w:t>
      </w:r>
      <w:r w:rsidDel="00000000" w:rsidR="00000000" w:rsidRPr="00000000">
        <w:rPr>
          <w:i w:val="0"/>
          <w:smallCaps w:val="0"/>
          <w:strike w:val="0"/>
          <w:color w:val="000000"/>
          <w:u w:val="none"/>
          <w:shd w:fill="auto" w:val="clear"/>
          <w:vertAlign w:val="baseline"/>
          <w:rtl w:val="0"/>
        </w:rPr>
        <w:t xml:space="preserve"> OER bi trebao biti tehnički zdrav, s dobrim dizajnom, funkcionalnošću i upotrebljivošću.</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Pravna usklađenost:</w:t>
      </w:r>
      <w:r w:rsidDel="00000000" w:rsidR="00000000" w:rsidRPr="00000000">
        <w:rPr>
          <w:i w:val="0"/>
          <w:smallCaps w:val="0"/>
          <w:strike w:val="0"/>
          <w:color w:val="000000"/>
          <w:u w:val="none"/>
          <w:shd w:fill="auto" w:val="clear"/>
          <w:vertAlign w:val="baseline"/>
          <w:rtl w:val="0"/>
        </w:rPr>
        <w:t xml:space="preserve"> OER bi trebao biti u skladu s autorskim i drugim pravnim zahtjevima, uključujući pravilno dodjeljivanje izvora.</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Održivost:</w:t>
      </w:r>
      <w:r w:rsidDel="00000000" w:rsidR="00000000" w:rsidRPr="00000000">
        <w:rPr>
          <w:i w:val="0"/>
          <w:smallCaps w:val="0"/>
          <w:strike w:val="0"/>
          <w:color w:val="000000"/>
          <w:u w:val="none"/>
          <w:shd w:fill="auto" w:val="clear"/>
          <w:vertAlign w:val="baseline"/>
          <w:rtl w:val="0"/>
        </w:rPr>
        <w:t xml:space="preserve"> OER bi trebao biti osmišljen tako da bude održiv, s planom stalnog održavanja i ažuriranja.</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Angažman zajednice</w:t>
      </w:r>
      <w:r w:rsidDel="00000000" w:rsidR="00000000" w:rsidRPr="00000000">
        <w:rPr>
          <w:i w:val="0"/>
          <w:smallCaps w:val="0"/>
          <w:strike w:val="0"/>
          <w:color w:val="000000"/>
          <w:u w:val="none"/>
          <w:shd w:fill="auto" w:val="clear"/>
          <w:vertAlign w:val="baseline"/>
          <w:rtl w:val="0"/>
        </w:rPr>
        <w:t xml:space="preserve">: OER treba razvijati u suradnji s odgajateljima, učenicima i drugim dionicima, kako bi se osiguralo da zadovoljavaju potrebe zajednice kojoj služe.</w:t>
      </w: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rtl w:val="0"/>
        </w:rPr>
        <w:t xml:space="preserve">Osim toga, EU-CERT Tool je prošao intenzivan proces kontrole kvalitete kako u okviru konzorcijskog partnerstva tako i u suradnji sa stručnjacima iz svake zemlje koji su doprinijeli njegovom razvoju. </w:t>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pPr>
      <w:r w:rsidDel="00000000" w:rsidR="00000000" w:rsidRPr="00000000">
        <w:rPr>
          <w:rtl w:val="0"/>
        </w:rPr>
        <w:t xml:space="preserve">Ukratko, EU-CERT Tool pruža sveobuhvatan proces akreditacije i kvalitetu certifikacije koji se usredotočuje na pojedince, prepoznavanje vještina učenika, stečeno znanje i kompetencije.</w:t>
      </w:r>
    </w:p>
    <w:p w:rsidR="00000000" w:rsidDel="00000000" w:rsidP="00000000" w:rsidRDefault="00000000" w:rsidRPr="00000000" w14:paraId="00000053">
      <w:pPr>
        <w:spacing w:after="0" w:line="240" w:lineRule="auto"/>
        <w:jc w:val="both"/>
        <w:rPr/>
      </w:pP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pStyle w:val="Heading2"/>
        <w:numPr>
          <w:ilvl w:val="1"/>
          <w:numId w:val="18"/>
        </w:numPr>
        <w:spacing w:after="0" w:line="240" w:lineRule="auto"/>
        <w:ind w:left="1152" w:hanging="720"/>
        <w:jc w:val="both"/>
        <w:rPr/>
      </w:pPr>
      <w:bookmarkStart w:colFirst="0" w:colLast="0" w:name="_heading=h.ac6sabi4vbvy" w:id="8"/>
      <w:bookmarkEnd w:id="8"/>
      <w:r w:rsidDel="00000000" w:rsidR="00000000" w:rsidRPr="00000000">
        <w:rPr>
          <w:vertAlign w:val="baseline"/>
          <w:rtl w:val="0"/>
        </w:rPr>
        <w:t xml:space="preserve">Važnost EU-A</w:t>
      </w:r>
      <w:r w:rsidDel="00000000" w:rsidR="00000000" w:rsidRPr="00000000">
        <w:rPr>
          <w:rtl w:val="0"/>
        </w:rPr>
      </w:r>
    </w:p>
    <w:p w:rsidR="00000000" w:rsidDel="00000000" w:rsidP="00000000" w:rsidRDefault="00000000" w:rsidRPr="00000000" w14:paraId="00000056">
      <w:pPr>
        <w:spacing w:after="0" w:line="240" w:lineRule="auto"/>
        <w:jc w:val="both"/>
        <w:rPr>
          <w:color w:val="000000"/>
        </w:rPr>
      </w:pP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rtl w:val="0"/>
        </w:rPr>
        <w:t xml:space="preserve">Pokušavajući uskladiti ECVET i ECTS koncepte te suočavajući se s golemim nedostatkom pismenosti i vještina u EU (OECD (2013) “Skills Outlook 2013 First Results iz Andult Skills”), EU-CERT nudi edukatorima za odrasle, trenerima, institucijama, kreatorima politika, pa čak i učenicima mogućnost poboljšanog sustava akreditacije i certifikacije. Uz EU-CERT, pojedinci s povjerenjem mogu prijeći svoj put karijere, dok su edukatori s povjerenjem u stanju upravljati pitanjima kvalitete, transparentnosti, potreba usmjerenih na učenika, prenosivosti, relevantnosti, autentičnosti i priznanja koja potiču EU prema održivijoj i konkurentnijoj regiji. EU-CERT se stoga također bavi Programom EU Agenda za obrazovanje odraslih (2021-2030) kojim se nastoji povećati sudjelovanje odraslih u obrazovanju putem pet stupova:</w:t>
      </w:r>
    </w:p>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numPr>
          <w:ilvl w:val="0"/>
          <w:numId w:val="10"/>
        </w:numPr>
        <w:spacing w:after="0" w:line="240" w:lineRule="auto"/>
        <w:ind w:left="720" w:hanging="360"/>
        <w:jc w:val="both"/>
        <w:rPr>
          <w:u w:val="none"/>
        </w:rPr>
      </w:pPr>
      <w:r w:rsidDel="00000000" w:rsidR="00000000" w:rsidRPr="00000000">
        <w:rPr>
          <w:rtl w:val="0"/>
        </w:rPr>
        <w:t xml:space="preserve">Upravljanje učenjem odraslih – s naglaskom na nacionalne strategije cijele vlade i partnerstva dionika.</w:t>
      </w:r>
    </w:p>
    <w:p w:rsidR="00000000" w:rsidDel="00000000" w:rsidP="00000000" w:rsidRDefault="00000000" w:rsidRPr="00000000" w14:paraId="0000005A">
      <w:pPr>
        <w:numPr>
          <w:ilvl w:val="0"/>
          <w:numId w:val="10"/>
        </w:numPr>
        <w:spacing w:after="0" w:line="240" w:lineRule="auto"/>
        <w:ind w:left="720" w:hanging="360"/>
        <w:jc w:val="both"/>
        <w:rPr>
          <w:u w:val="none"/>
        </w:rPr>
      </w:pPr>
      <w:r w:rsidDel="00000000" w:rsidR="00000000" w:rsidRPr="00000000">
        <w:rPr>
          <w:rtl w:val="0"/>
        </w:rPr>
        <w:t xml:space="preserve">Ponuda i iskorištavanje mogućnosti cjeloživotnog učenja održivim financiranjem.</w:t>
      </w:r>
    </w:p>
    <w:p w:rsidR="00000000" w:rsidDel="00000000" w:rsidP="00000000" w:rsidRDefault="00000000" w:rsidRPr="00000000" w14:paraId="0000005B">
      <w:pPr>
        <w:numPr>
          <w:ilvl w:val="0"/>
          <w:numId w:val="10"/>
        </w:numPr>
        <w:spacing w:after="0" w:line="240" w:lineRule="auto"/>
        <w:ind w:left="720" w:hanging="360"/>
        <w:jc w:val="both"/>
        <w:rPr>
          <w:u w:val="none"/>
        </w:rPr>
      </w:pPr>
      <w:r w:rsidDel="00000000" w:rsidR="00000000" w:rsidRPr="00000000">
        <w:rPr>
          <w:rtl w:val="0"/>
        </w:rPr>
        <w:t xml:space="preserve">Pristupačnost i fleksibilnost – za prilagodbu potrebama odraslih.</w:t>
      </w:r>
    </w:p>
    <w:p w:rsidR="00000000" w:rsidDel="00000000" w:rsidP="00000000" w:rsidRDefault="00000000" w:rsidRPr="00000000" w14:paraId="0000005C">
      <w:pPr>
        <w:numPr>
          <w:ilvl w:val="0"/>
          <w:numId w:val="10"/>
        </w:numPr>
        <w:spacing w:after="0" w:line="240" w:lineRule="auto"/>
        <w:ind w:left="720" w:hanging="360"/>
        <w:jc w:val="both"/>
        <w:rPr>
          <w:u w:val="none"/>
        </w:rPr>
      </w:pPr>
      <w:r w:rsidDel="00000000" w:rsidR="00000000" w:rsidRPr="00000000">
        <w:rPr>
          <w:rtl w:val="0"/>
        </w:rPr>
        <w:t xml:space="preserve">Kvaliteta, pravičnost, uključenost i uspjeh u obrazovanju odraslih – naglašava profesionalni razvoj osoblja za učenje odraslih, mobilnost učenika i osoblja, osiguranje kvalitete i aktivnu potporu skupinama u nepovoljnom položaju.</w:t>
      </w:r>
    </w:p>
    <w:p w:rsidR="00000000" w:rsidDel="00000000" w:rsidP="00000000" w:rsidRDefault="00000000" w:rsidRPr="00000000" w14:paraId="0000005D">
      <w:pPr>
        <w:numPr>
          <w:ilvl w:val="0"/>
          <w:numId w:val="10"/>
        </w:numPr>
        <w:spacing w:after="0" w:line="240" w:lineRule="auto"/>
        <w:ind w:left="720" w:hanging="360"/>
        <w:jc w:val="both"/>
        <w:rPr>
          <w:u w:val="none"/>
        </w:rPr>
      </w:pPr>
      <w:r w:rsidDel="00000000" w:rsidR="00000000" w:rsidRPr="00000000">
        <w:rPr>
          <w:rtl w:val="0"/>
        </w:rPr>
        <w:t xml:space="preserve">Zeleni i digitalni prijelazi i s njima povezane vještine.</w:t>
      </w:r>
    </w:p>
    <w:p w:rsidR="00000000" w:rsidDel="00000000" w:rsidP="00000000" w:rsidRDefault="00000000" w:rsidRPr="00000000" w14:paraId="0000005E">
      <w:pPr>
        <w:spacing w:after="0" w:line="240" w:lineRule="auto"/>
        <w:ind w:left="720" w:firstLine="0"/>
        <w:jc w:val="both"/>
        <w:rPr/>
      </w:pPr>
      <w:r w:rsidDel="00000000" w:rsidR="00000000" w:rsidRPr="00000000">
        <w:rPr>
          <w:rtl w:val="0"/>
        </w:rPr>
      </w:r>
    </w:p>
    <w:p w:rsidR="00000000" w:rsidDel="00000000" w:rsidP="00000000" w:rsidRDefault="00000000" w:rsidRPr="00000000" w14:paraId="0000005F">
      <w:pPr>
        <w:spacing w:after="0" w:line="240" w:lineRule="auto"/>
        <w:ind w:left="0" w:firstLine="0"/>
        <w:jc w:val="both"/>
        <w:rPr/>
      </w:pPr>
      <w:r w:rsidDel="00000000" w:rsidR="00000000" w:rsidRPr="00000000">
        <w:rPr>
          <w:rtl w:val="0"/>
        </w:rPr>
        <w:t xml:space="preserve">Nadalje, EU-CERT podiže svijest među odraslim učenicima, odgajateljima odraslih, pružateljima obrazovanja odraslih i kreatorima politika o kvaliteti i vrstama certificiranih tečajeva i institucija dostupnih u zemljama partnerima i diljem Europe. Stvaranjem i unapređivanjem kulture učenja među odraslima, EU-CERT dodatno motivira odrasle učenike kroz vidljivost akreditiranih i certificiranih tečajeva i pružatelja obrazovanja odraslih.</w:t>
      </w:r>
    </w:p>
    <w:p w:rsidR="00000000" w:rsidDel="00000000" w:rsidP="00000000" w:rsidRDefault="00000000" w:rsidRPr="00000000" w14:paraId="00000060">
      <w:pPr>
        <w:spacing w:after="0" w:line="240" w:lineRule="auto"/>
        <w:jc w:val="both"/>
        <w:rPr/>
      </w:pPr>
      <w:r w:rsidDel="00000000" w:rsidR="00000000" w:rsidRPr="00000000">
        <w:rPr>
          <w:rtl w:val="0"/>
        </w:rPr>
      </w:r>
    </w:p>
    <w:p w:rsidR="00000000" w:rsidDel="00000000" w:rsidP="00000000" w:rsidRDefault="00000000" w:rsidRPr="00000000" w14:paraId="00000061">
      <w:pPr>
        <w:spacing w:after="0" w:line="240" w:lineRule="auto"/>
        <w:jc w:val="both"/>
        <w:rPr/>
      </w:pPr>
      <w:r w:rsidDel="00000000" w:rsidR="00000000" w:rsidRPr="00000000">
        <w:rPr>
          <w:rtl w:val="0"/>
        </w:rPr>
        <w:t xml:space="preserve">S pristupom usmjerenim na učenike, EU-CERT alat također pruža mogućnost učenicima i pružateljima obrazovanja odraslih da imaju povjerenje u međusobno povezivanje putem brojnih metoda; učenje na daljinu, online učenje, dostava na radnom mjestu, tečajevi u nepunom radnom vremenu i učenje uživo u okviru pružatelja obrazovanja odraslih.</w:t>
      </w:r>
      <w:r w:rsidDel="00000000" w:rsidR="00000000" w:rsidRPr="00000000">
        <w:rPr>
          <w:rtl w:val="0"/>
        </w:rPr>
      </w:r>
    </w:p>
    <w:p w:rsidR="00000000" w:rsidDel="00000000" w:rsidP="00000000" w:rsidRDefault="00000000" w:rsidRPr="00000000" w14:paraId="00000062">
      <w:pPr>
        <w:spacing w:after="0" w:line="240" w:lineRule="auto"/>
        <w:jc w:val="both"/>
        <w:rPr>
          <w:color w:val="000000"/>
        </w:rPr>
      </w:pPr>
      <w:r w:rsidDel="00000000" w:rsidR="00000000" w:rsidRPr="00000000">
        <w:rPr>
          <w:rtl w:val="0"/>
        </w:rPr>
      </w:r>
    </w:p>
    <w:p w:rsidR="00000000" w:rsidDel="00000000" w:rsidP="00000000" w:rsidRDefault="00000000" w:rsidRPr="00000000" w14:paraId="00000063">
      <w:pPr>
        <w:spacing w:after="0" w:line="240" w:lineRule="auto"/>
        <w:jc w:val="both"/>
        <w:rPr>
          <w:color w:val="000000"/>
        </w:rPr>
      </w:pPr>
      <w:r w:rsidDel="00000000" w:rsidR="00000000" w:rsidRPr="00000000">
        <w:rPr>
          <w:rtl w:val="0"/>
        </w:rPr>
        <w:t xml:space="preserve">Uključivanje većeg broja odraslih u proces učenja koristi pojedincima, ustanovama za učenje i poučavanje, drugim organizacijama na radnom mjestu i općenito društvu. Odrasli koji nastavljaju učiti više, postaju više zapošljivi, uživaju u boljem zdravlju i postaju aktivniji građani. Korištenje EU-CERT Akreditacijskog i Certifikacijskog Alata omogućuje učinkovitije, ciljane strategije dosega na lokalnoj, nacionalnoj i regionalnoj razini. Za partnerske zemlje i diljem EU-a, EU-CERT alat pruža visokokvalitetne, dobro ciljane mogućnosti, stvarajući potražnju za formalnim, neformalnim i neobveznim podučavanjem i učenjem. Preciziranjem svojih strategija, EU-CERT alat nudi pružatelju i učeniku win-win situaciju putem kvalitetnijeg, standardiziranog procesa akreditacije i certifikacije. Zauzvrat, partnerske zemlje diljem EU-a, kao i države i pružatelji obrazovanja odraslih, mogu razviti početne, formativne i sumativne strategije procjene koje će motivirati odrasle i podupirati njihovo učenje godinama.</w:t>
      </w:r>
      <w:r w:rsidDel="00000000" w:rsidR="00000000" w:rsidRPr="00000000">
        <w:rPr>
          <w:rtl w:val="0"/>
        </w:rPr>
      </w:r>
    </w:p>
    <w:p w:rsidR="00000000" w:rsidDel="00000000" w:rsidP="00000000" w:rsidRDefault="00000000" w:rsidRPr="00000000" w14:paraId="00000064">
      <w:pPr>
        <w:spacing w:after="0" w:line="240" w:lineRule="auto"/>
        <w:jc w:val="both"/>
        <w:rPr>
          <w:color w:val="000000"/>
        </w:rPr>
      </w:pPr>
      <w:r w:rsidDel="00000000" w:rsidR="00000000" w:rsidRPr="00000000">
        <w:rPr>
          <w:rtl w:val="0"/>
        </w:rPr>
      </w:r>
    </w:p>
    <w:p w:rsidR="00000000" w:rsidDel="00000000" w:rsidP="00000000" w:rsidRDefault="00000000" w:rsidRPr="00000000" w14:paraId="00000065">
      <w:pPr>
        <w:spacing w:after="0" w:line="240" w:lineRule="auto"/>
        <w:jc w:val="both"/>
        <w:rPr>
          <w:color w:val="000000"/>
        </w:rPr>
      </w:pPr>
      <w:r w:rsidDel="00000000" w:rsidR="00000000" w:rsidRPr="00000000">
        <w:rPr>
          <w:rtl w:val="0"/>
        </w:rPr>
        <w:t xml:space="preserve">Ukratko, EU-CERT alat za akreditaciju i certifikaciju važan je iz sljedećih razloga:</w:t>
      </w:r>
      <w:r w:rsidDel="00000000" w:rsidR="00000000" w:rsidRPr="00000000">
        <w:rPr>
          <w:rtl w:val="0"/>
        </w:rPr>
      </w:r>
    </w:p>
    <w:p w:rsidR="00000000" w:rsidDel="00000000" w:rsidP="00000000" w:rsidRDefault="00000000" w:rsidRPr="00000000" w14:paraId="00000066">
      <w:pPr>
        <w:spacing w:after="0" w:line="240" w:lineRule="auto"/>
        <w:jc w:val="both"/>
        <w:rPr/>
      </w:pPr>
      <w:r w:rsidDel="00000000" w:rsidR="00000000" w:rsidRPr="00000000">
        <w:rPr>
          <w:rtl w:val="0"/>
        </w:rPr>
      </w:r>
    </w:p>
    <w:p w:rsidR="00000000" w:rsidDel="00000000" w:rsidP="00000000" w:rsidRDefault="00000000" w:rsidRPr="00000000" w14:paraId="00000067">
      <w:pPr>
        <w:spacing w:after="0" w:line="240" w:lineRule="auto"/>
        <w:jc w:val="both"/>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Takvi pregledi pokazuju što već dobro funkcionira i gdje su potrebna poboljšanja u procesima ili materijalima (kako je to slučaj)</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Dioničari su upoznati sa stanjem svoje organizacije</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Osoblje u organizaciji zna o stanju svoje organizacije</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Štedi vrijeme i novac u dugoročnoj perspektivi</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Certifikacija gradi pozitivnu sliku prema vanjskom svijetu</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Signalizira ozbiljnost i spremnost za poboljšanja</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Pomaže da se istakne</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Institucija može dokazati da se pridržava (međunarodnih/nacionalnih) standarda</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Pruža predanost kvaliteti</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Povećava otpornost i prilagodljivost organizacije</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Potiče bolju komunikaciju i usklađivanje među odjelima</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Doprinose održivom razvoju</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Poboljšava interni procese i učinkovitost</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sectPr>
          <w:headerReference r:id="rId9" w:type="default"/>
          <w:footerReference r:id="rId10" w:type="default"/>
          <w:pgSz w:h="16838" w:w="11906" w:orient="portrait"/>
          <w:pgMar w:bottom="1440" w:top="1440" w:left="1440" w:right="1440" w:header="709" w:footer="709"/>
          <w:pgNumType w:start="1"/>
        </w:sectPr>
      </w:pPr>
      <w:r w:rsidDel="00000000" w:rsidR="00000000" w:rsidRPr="00000000">
        <w:rPr>
          <w:rtl w:val="0"/>
        </w:rPr>
        <w:t xml:space="preserve">Pruža okvir za dosljednu evaluaciju i usporedbu.</w:t>
      </w:r>
    </w:p>
    <w:p w:rsidR="00000000" w:rsidDel="00000000" w:rsidP="00000000" w:rsidRDefault="00000000" w:rsidRPr="00000000" w14:paraId="00000076">
      <w:pPr>
        <w:spacing w:after="0" w:line="240" w:lineRule="auto"/>
        <w:ind w:left="432" w:firstLine="0"/>
        <w:jc w:val="both"/>
        <w:rPr/>
      </w:pPr>
      <w:r w:rsidDel="00000000" w:rsidR="00000000" w:rsidRPr="00000000">
        <w:rPr>
          <w:rtl w:val="0"/>
        </w:rPr>
      </w:r>
    </w:p>
    <w:p w:rsidR="00000000" w:rsidDel="00000000" w:rsidP="00000000" w:rsidRDefault="00000000" w:rsidRPr="00000000" w14:paraId="00000077">
      <w:pPr>
        <w:spacing w:after="0" w:line="240" w:lineRule="auto"/>
        <w:ind w:left="432" w:firstLine="0"/>
        <w:jc w:val="both"/>
        <w:rPr/>
      </w:pPr>
      <w:r w:rsidDel="00000000" w:rsidR="00000000" w:rsidRPr="00000000">
        <w:rPr>
          <w:rtl w:val="0"/>
        </w:rPr>
      </w:r>
    </w:p>
    <w:p w:rsidR="00000000" w:rsidDel="00000000" w:rsidP="00000000" w:rsidRDefault="00000000" w:rsidRPr="00000000" w14:paraId="00000078">
      <w:pPr>
        <w:spacing w:after="0" w:line="240" w:lineRule="auto"/>
        <w:ind w:left="432" w:firstLine="0"/>
        <w:jc w:val="both"/>
        <w:rPr/>
      </w:pPr>
      <w:r w:rsidDel="00000000" w:rsidR="00000000" w:rsidRPr="00000000">
        <w:rPr>
          <w:rtl w:val="0"/>
        </w:rPr>
      </w:r>
    </w:p>
    <w:p w:rsidR="00000000" w:rsidDel="00000000" w:rsidP="00000000" w:rsidRDefault="00000000" w:rsidRPr="00000000" w14:paraId="00000079">
      <w:pPr>
        <w:pStyle w:val="Heading2"/>
        <w:numPr>
          <w:ilvl w:val="1"/>
          <w:numId w:val="18"/>
        </w:numPr>
        <w:spacing w:line="240" w:lineRule="auto"/>
        <w:ind w:left="1152" w:hanging="720"/>
        <w:jc w:val="both"/>
        <w:rPr/>
      </w:pPr>
      <w:bookmarkStart w:colFirst="0" w:colLast="0" w:name="_heading=h.r9n3ne7t4i27" w:id="9"/>
      <w:bookmarkEnd w:id="9"/>
      <w:r w:rsidDel="00000000" w:rsidR="00000000" w:rsidRPr="00000000">
        <w:rPr>
          <w:rtl w:val="0"/>
        </w:rPr>
        <w:t xml:space="preserve">Postignuća EU-CERT projekta</w:t>
      </w:r>
    </w:p>
    <w:p w:rsidR="00000000" w:rsidDel="00000000" w:rsidP="00000000" w:rsidRDefault="00000000" w:rsidRPr="00000000" w14:paraId="0000007A">
      <w:pPr>
        <w:spacing w:after="0" w:line="240" w:lineRule="auto"/>
        <w:jc w:val="both"/>
        <w:rPr>
          <w:color w:val="000000"/>
        </w:rPr>
      </w:pPr>
      <w:r w:rsidDel="00000000" w:rsidR="00000000" w:rsidRPr="00000000">
        <w:rPr>
          <w:rtl w:val="0"/>
        </w:rPr>
      </w:r>
    </w:p>
    <w:p w:rsidR="00000000" w:rsidDel="00000000" w:rsidP="00000000" w:rsidRDefault="00000000" w:rsidRPr="00000000" w14:paraId="0000007B">
      <w:pPr>
        <w:spacing w:after="0" w:line="240" w:lineRule="auto"/>
        <w:jc w:val="both"/>
        <w:rPr/>
      </w:pPr>
      <w:r w:rsidDel="00000000" w:rsidR="00000000" w:rsidRPr="00000000">
        <w:rPr>
          <w:rtl w:val="0"/>
        </w:rPr>
        <w:t xml:space="preserve">Nakon što je pregledao obrazovne sustave u pet država članica EU-a, konzorcij EU-CERT razvio je i uspostavio smjernice za transparentni i upotrebljivi akreditacijski proces na razini EU-a u sektoru obrazovanja odraslih.  Nakon temeljitog i intenzivnog plana konzorcij EU-CERT utvrdio je sljedeća područja za razvoj robusnog radnog alata EU-CERT među partnerskim zemljama i EU-om:</w:t>
      </w:r>
    </w:p>
    <w:p w:rsidR="00000000" w:rsidDel="00000000" w:rsidP="00000000" w:rsidRDefault="00000000" w:rsidRPr="00000000" w14:paraId="0000007C">
      <w:pPr>
        <w:spacing w:after="0" w:line="240" w:lineRule="auto"/>
        <w:jc w:val="both"/>
        <w:rPr/>
      </w:pPr>
      <w:r w:rsidDel="00000000" w:rsidR="00000000" w:rsidRPr="00000000">
        <w:rPr>
          <w:rtl w:val="0"/>
        </w:rPr>
      </w:r>
    </w:p>
    <w:p w:rsidR="00000000" w:rsidDel="00000000" w:rsidP="00000000" w:rsidRDefault="00000000" w:rsidRPr="00000000" w14:paraId="0000007D">
      <w:pPr>
        <w:spacing w:after="0" w:line="240" w:lineRule="auto"/>
        <w:jc w:val="both"/>
        <w:rPr/>
      </w:pPr>
      <w:r w:rsidDel="00000000" w:rsidR="00000000" w:rsidRPr="00000000">
        <w:rPr>
          <w:rtl w:val="0"/>
        </w:rPr>
      </w:r>
    </w:p>
    <w:tbl>
      <w:tblPr>
        <w:tblStyle w:val="Table1"/>
        <w:tblW w:w="9016.0" w:type="dxa"/>
        <w:jc w:val="left"/>
        <w:tblBorders>
          <w:top w:color="f79646" w:space="0" w:sz="8" w:val="single"/>
          <w:left w:color="f79646" w:space="0" w:sz="8" w:val="single"/>
          <w:bottom w:color="f79646" w:space="0" w:sz="8" w:val="single"/>
          <w:right w:color="f79646" w:space="0" w:sz="8" w:val="single"/>
          <w:insideH w:color="000000" w:space="0" w:sz="4" w:val="single"/>
          <w:insideV w:color="000000" w:space="0" w:sz="4" w:val="single"/>
        </w:tblBorders>
        <w:tblLayout w:type="fixed"/>
        <w:tblLook w:val="0400"/>
      </w:tblPr>
      <w:tblGrid>
        <w:gridCol w:w="1404"/>
        <w:gridCol w:w="4121"/>
        <w:gridCol w:w="3491"/>
        <w:tblGridChange w:id="0">
          <w:tblGrid>
            <w:gridCol w:w="1404"/>
            <w:gridCol w:w="4121"/>
            <w:gridCol w:w="3491"/>
          </w:tblGrid>
        </w:tblGridChange>
      </w:tblGrid>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E">
            <w:pPr>
              <w:spacing w:line="240" w:lineRule="auto"/>
              <w:rPr/>
            </w:pPr>
            <w:r w:rsidDel="00000000" w:rsidR="00000000" w:rsidRPr="00000000">
              <w:rPr>
                <w:b w:val="1"/>
                <w:color w:val="000000"/>
                <w:rtl w:val="0"/>
              </w:rPr>
              <w:t xml:space="preserve">Rezultati projekta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F">
            <w:pPr>
              <w:spacing w:line="240" w:lineRule="auto"/>
              <w:rPr/>
            </w:pPr>
            <w:r w:rsidDel="00000000" w:rsidR="00000000" w:rsidRPr="00000000">
              <w:rPr>
                <w:b w:val="1"/>
                <w:color w:val="000000"/>
                <w:rtl w:val="0"/>
              </w:rPr>
              <w:t xml:space="preserve">Naziv aktivnosti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0">
            <w:pPr>
              <w:spacing w:line="240" w:lineRule="auto"/>
              <w:rPr/>
            </w:pPr>
            <w:r w:rsidDel="00000000" w:rsidR="00000000" w:rsidRPr="00000000">
              <w:rPr>
                <w:b w:val="1"/>
                <w:color w:val="000000"/>
                <w:rtl w:val="0"/>
              </w:rPr>
              <w:t xml:space="preserve">Vodeća Organizacija</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1">
            <w:pPr>
              <w:spacing w:line="240" w:lineRule="auto"/>
              <w:rPr/>
            </w:pPr>
            <w:r w:rsidDel="00000000" w:rsidR="00000000" w:rsidRPr="00000000">
              <w:rPr>
                <w:color w:val="000000"/>
                <w:rtl w:val="0"/>
              </w:rPr>
              <w:t xml:space="preserve">Rezultat projekta 1</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2">
            <w:pPr>
              <w:spacing w:line="240" w:lineRule="auto"/>
              <w:rPr/>
            </w:pPr>
            <w:r w:rsidDel="00000000" w:rsidR="00000000" w:rsidRPr="00000000">
              <w:rPr>
                <w:color w:val="000000"/>
                <w:rtl w:val="0"/>
              </w:rPr>
              <w:t xml:space="preserve">EU-CERT - Istraživanje kriterija kvalitete, Akreditacije i Struktura certifikata</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3">
            <w:pPr>
              <w:spacing w:line="240" w:lineRule="auto"/>
              <w:rPr/>
            </w:pPr>
            <w:r w:rsidDel="00000000" w:rsidR="00000000" w:rsidRPr="00000000">
              <w:rPr>
                <w:color w:val="000000"/>
                <w:rtl w:val="0"/>
              </w:rPr>
              <w:t xml:space="preserve">Sveučilište u Paderbornu – Njemačka </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4">
            <w:pPr>
              <w:spacing w:line="240" w:lineRule="auto"/>
              <w:rPr/>
            </w:pPr>
            <w:r w:rsidDel="00000000" w:rsidR="00000000" w:rsidRPr="00000000">
              <w:rPr>
                <w:color w:val="000000"/>
                <w:rtl w:val="0"/>
              </w:rPr>
              <w:t xml:space="preserve">Rezultat projekta 2</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5">
            <w:pPr>
              <w:spacing w:line="240" w:lineRule="auto"/>
              <w:rPr/>
            </w:pPr>
            <w:r w:rsidDel="00000000" w:rsidR="00000000" w:rsidRPr="00000000">
              <w:rPr>
                <w:color w:val="000000"/>
                <w:rtl w:val="0"/>
              </w:rPr>
              <w:t xml:space="preserve">EU-CERT - Koncept Dizajn za Procese akreditacije i Certifikacije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6">
            <w:pPr>
              <w:spacing w:line="240" w:lineRule="auto"/>
              <w:rPr/>
            </w:pPr>
            <w:r w:rsidDel="00000000" w:rsidR="00000000" w:rsidRPr="00000000">
              <w:rPr>
                <w:color w:val="000000"/>
                <w:rtl w:val="0"/>
              </w:rPr>
              <w:t xml:space="preserve">STANDO - Cipar </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7">
            <w:pPr>
              <w:spacing w:line="240" w:lineRule="auto"/>
              <w:rPr/>
            </w:pPr>
            <w:r w:rsidDel="00000000" w:rsidR="00000000" w:rsidRPr="00000000">
              <w:rPr>
                <w:color w:val="000000"/>
                <w:rtl w:val="0"/>
              </w:rPr>
              <w:t xml:space="preserve">Rezultat projekta 3</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8">
            <w:pPr>
              <w:spacing w:line="240" w:lineRule="auto"/>
              <w:rPr/>
            </w:pPr>
            <w:r w:rsidDel="00000000" w:rsidR="00000000" w:rsidRPr="00000000">
              <w:rPr>
                <w:color w:val="000000"/>
                <w:rtl w:val="0"/>
              </w:rPr>
              <w:t xml:space="preserve">EU-CERT - Akreditacija Web stranice i baze podataka Dizajn i programiranje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9">
            <w:pPr>
              <w:spacing w:line="240" w:lineRule="auto"/>
              <w:rPr/>
            </w:pPr>
            <w:r w:rsidDel="00000000" w:rsidR="00000000" w:rsidRPr="00000000">
              <w:rPr>
                <w:color w:val="000000"/>
                <w:rtl w:val="0"/>
              </w:rPr>
              <w:t xml:space="preserve">Genijalno znanje GmbH - Nemačka</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A">
            <w:pPr>
              <w:spacing w:line="240" w:lineRule="auto"/>
              <w:rPr/>
            </w:pPr>
            <w:r w:rsidDel="00000000" w:rsidR="00000000" w:rsidRPr="00000000">
              <w:rPr>
                <w:color w:val="000000"/>
                <w:rtl w:val="0"/>
              </w:rPr>
              <w:t xml:space="preserve">Rezultat projekta 4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B">
            <w:pPr>
              <w:spacing w:line="240" w:lineRule="auto"/>
              <w:rPr/>
            </w:pPr>
            <w:r w:rsidDel="00000000" w:rsidR="00000000" w:rsidRPr="00000000">
              <w:rPr>
                <w:color w:val="000000"/>
                <w:rtl w:val="0"/>
              </w:rPr>
              <w:t xml:space="preserve">EU-CERT - Priručnik za akreditaciju</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C">
            <w:pPr>
              <w:spacing w:line="240" w:lineRule="auto"/>
              <w:rPr/>
            </w:pPr>
            <w:r w:rsidDel="00000000" w:rsidR="00000000" w:rsidRPr="00000000">
              <w:rPr>
                <w:color w:val="000000"/>
                <w:rtl w:val="0"/>
              </w:rPr>
              <w:t xml:space="preserve">Sveučilište u Paderbornu - Njemačka</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D">
            <w:pPr>
              <w:spacing w:line="240" w:lineRule="auto"/>
              <w:rPr/>
            </w:pPr>
            <w:r w:rsidDel="00000000" w:rsidR="00000000" w:rsidRPr="00000000">
              <w:rPr>
                <w:color w:val="000000"/>
                <w:rtl w:val="0"/>
              </w:rPr>
              <w:t xml:space="preserve">Rezultat projekta 5</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E">
            <w:pPr>
              <w:spacing w:line="240" w:lineRule="auto"/>
              <w:rPr/>
            </w:pPr>
            <w:r w:rsidDel="00000000" w:rsidR="00000000" w:rsidRPr="00000000">
              <w:rPr>
                <w:color w:val="000000"/>
                <w:rtl w:val="0"/>
              </w:rPr>
              <w:t xml:space="preserve">EU-CERT - Akreditacija i certificiranje - Prebacivanje pružateljima obrazovanja odraslih</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F">
            <w:pPr>
              <w:spacing w:line="240" w:lineRule="auto"/>
              <w:rPr/>
            </w:pPr>
            <w:r w:rsidDel="00000000" w:rsidR="00000000" w:rsidRPr="00000000">
              <w:rPr>
                <w:color w:val="000000"/>
                <w:rtl w:val="0"/>
              </w:rPr>
              <w:t xml:space="preserve">Esquare - Francuska</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90">
            <w:pPr>
              <w:spacing w:line="240" w:lineRule="auto"/>
              <w:rPr/>
            </w:pPr>
            <w:r w:rsidDel="00000000" w:rsidR="00000000" w:rsidRPr="00000000">
              <w:rPr>
                <w:color w:val="000000"/>
                <w:rtl w:val="0"/>
              </w:rPr>
              <w:t xml:space="preserve">Rezultat projekta 6</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91">
            <w:pPr>
              <w:spacing w:line="240" w:lineRule="auto"/>
              <w:rPr/>
            </w:pPr>
            <w:r w:rsidDel="00000000" w:rsidR="00000000" w:rsidRPr="00000000">
              <w:rPr>
                <w:color w:val="000000"/>
                <w:rtl w:val="0"/>
              </w:rPr>
              <w:t xml:space="preserve">EU-CERT - Dokument o politici</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92">
            <w:pPr>
              <w:spacing w:line="240" w:lineRule="auto"/>
              <w:rPr/>
            </w:pPr>
            <w:r w:rsidDel="00000000" w:rsidR="00000000" w:rsidRPr="00000000">
              <w:rPr>
                <w:color w:val="000000"/>
                <w:rtl w:val="0"/>
              </w:rPr>
              <w:t xml:space="preserve">Associaçiaço Rede de Universidades da Terceira Idade - Portugal</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93">
            <w:pPr>
              <w:spacing w:line="240" w:lineRule="auto"/>
              <w:rPr/>
            </w:pP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color w:val="000000"/>
                <w:rtl w:val="0"/>
              </w:rPr>
              <w:t xml:space="preserve">Rezultat projekta 7</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95">
            <w:pPr>
              <w:spacing w:line="240" w:lineRule="auto"/>
              <w:rPr/>
            </w:pPr>
            <w:r w:rsidDel="00000000" w:rsidR="00000000" w:rsidRPr="00000000">
              <w:rPr>
                <w:color w:val="000000"/>
                <w:rtl w:val="0"/>
              </w:rPr>
              <w:t xml:space="preserve">EU-CERT - Laymanovo izvješće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96">
            <w:pPr>
              <w:spacing w:line="240" w:lineRule="auto"/>
              <w:rPr/>
            </w:pPr>
            <w:r w:rsidDel="00000000" w:rsidR="00000000" w:rsidRPr="00000000">
              <w:rPr>
                <w:color w:val="000000"/>
                <w:rtl w:val="0"/>
              </w:rPr>
              <w:t xml:space="preserve">TIR Consulting Group j.d.o.o - Hrvatska</w:t>
            </w:r>
            <w:r w:rsidDel="00000000" w:rsidR="00000000" w:rsidRPr="00000000">
              <w:rPr>
                <w:rtl w:val="0"/>
              </w:rPr>
            </w:r>
          </w:p>
        </w:tc>
      </w:tr>
    </w:tbl>
    <w:p w:rsidR="00000000" w:rsidDel="00000000" w:rsidP="00000000" w:rsidRDefault="00000000" w:rsidRPr="00000000" w14:paraId="00000097">
      <w:pPr>
        <w:spacing w:after="0" w:line="240" w:lineRule="auto"/>
        <w:jc w:val="both"/>
        <w:rPr/>
      </w:pPr>
      <w:r w:rsidDel="00000000" w:rsidR="00000000" w:rsidRPr="00000000">
        <w:rPr>
          <w:rtl w:val="0"/>
        </w:rPr>
      </w:r>
    </w:p>
    <w:p w:rsidR="00000000" w:rsidDel="00000000" w:rsidP="00000000" w:rsidRDefault="00000000" w:rsidRPr="00000000" w14:paraId="00000098">
      <w:pPr>
        <w:spacing w:after="0" w:line="240" w:lineRule="auto"/>
        <w:jc w:val="both"/>
        <w:rPr>
          <w:b w:val="1"/>
        </w:rPr>
      </w:pP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rtl w:val="0"/>
        </w:rPr>
        <w:t xml:space="preserve">Rezultati početnog istraživanja pokazali su raznolikost kako u kvantitativnom tako i u kvalitativnom smislu u pet članica EU-a, u koje je bilo uključeno 25 stručnjaka, po pet iz svake partnerske zemlje. Od nedavno uvedenog razvoja akreditacijskog sustava na Cipru do djelomično razvijenih metoda akreditacije u Hrvatskoj, pa sve do naprednijih akreditacijskih procesa u Francuskoj i Njemačkoj.</w:t>
      </w:r>
    </w:p>
    <w:p w:rsidR="00000000" w:rsidDel="00000000" w:rsidP="00000000" w:rsidRDefault="00000000" w:rsidRPr="00000000" w14:paraId="0000009A">
      <w:pPr>
        <w:spacing w:after="0" w:line="240" w:lineRule="auto"/>
        <w:jc w:val="both"/>
        <w:rPr/>
      </w:pPr>
      <w:r w:rsidDel="00000000" w:rsidR="00000000" w:rsidRPr="00000000">
        <w:rPr>
          <w:rtl w:val="0"/>
        </w:rPr>
      </w:r>
    </w:p>
    <w:p w:rsidR="00000000" w:rsidDel="00000000" w:rsidP="00000000" w:rsidRDefault="00000000" w:rsidRPr="00000000" w14:paraId="0000009B">
      <w:pPr>
        <w:spacing w:after="0" w:line="240" w:lineRule="auto"/>
        <w:jc w:val="both"/>
        <w:rPr/>
      </w:pPr>
      <w:r w:rsidDel="00000000" w:rsidR="00000000" w:rsidRPr="00000000">
        <w:rPr>
          <w:rtl w:val="0"/>
        </w:rPr>
        <w:t xml:space="preserve">Suradnja i dubinski intervjui sa stručnjacima iz EU-CERT partnerstva identificirali su sljedeća pitanja koja je potrebno razmotriti prilikom razvoja alata za procjenu i certifikaciju:</w:t>
      </w:r>
    </w:p>
    <w:p w:rsidR="00000000" w:rsidDel="00000000" w:rsidP="00000000" w:rsidRDefault="00000000" w:rsidRPr="00000000" w14:paraId="0000009C">
      <w:pPr>
        <w:spacing w:after="0" w:line="240" w:lineRule="auto"/>
        <w:jc w:val="both"/>
        <w:rPr/>
      </w:pPr>
      <w:r w:rsidDel="00000000" w:rsidR="00000000" w:rsidRPr="00000000">
        <w:rPr>
          <w:rtl w:val="0"/>
        </w:rPr>
      </w:r>
    </w:p>
    <w:p w:rsidR="00000000" w:rsidDel="00000000" w:rsidP="00000000" w:rsidRDefault="00000000" w:rsidRPr="00000000" w14:paraId="0000009D">
      <w:pPr>
        <w:numPr>
          <w:ilvl w:val="0"/>
          <w:numId w:val="12"/>
        </w:numPr>
        <w:spacing w:after="0" w:line="240" w:lineRule="auto"/>
        <w:ind w:left="720" w:hanging="360"/>
        <w:jc w:val="both"/>
        <w:rPr>
          <w:u w:val="none"/>
        </w:rPr>
      </w:pPr>
      <w:r w:rsidDel="00000000" w:rsidR="00000000" w:rsidRPr="00000000">
        <w:rPr>
          <w:rtl w:val="0"/>
        </w:rPr>
        <w:t xml:space="preserve">Njemačka – potreba za digitalnom infrastrukturom koja je kompatibilna s pružateljima obrazovanja, tržištem rada i širom zainteresiranom javnošću; faktori održivosti povezani s trenutnim i budućim vještinama, znanjem i kompetencijama koje pojedinci stječu.</w:t>
      </w:r>
    </w:p>
    <w:p w:rsidR="00000000" w:rsidDel="00000000" w:rsidP="00000000" w:rsidRDefault="00000000" w:rsidRPr="00000000" w14:paraId="0000009E">
      <w:pPr>
        <w:numPr>
          <w:ilvl w:val="0"/>
          <w:numId w:val="12"/>
        </w:numPr>
        <w:spacing w:after="0" w:line="240" w:lineRule="auto"/>
        <w:ind w:left="720" w:hanging="360"/>
        <w:jc w:val="both"/>
        <w:rPr>
          <w:u w:val="none"/>
        </w:rPr>
      </w:pPr>
      <w:r w:rsidDel="00000000" w:rsidR="00000000" w:rsidRPr="00000000">
        <w:rPr>
          <w:rtl w:val="0"/>
        </w:rPr>
      </w:r>
    </w:p>
    <w:p w:rsidR="00000000" w:rsidDel="00000000" w:rsidP="00000000" w:rsidRDefault="00000000" w:rsidRPr="00000000" w14:paraId="0000009F">
      <w:pPr>
        <w:numPr>
          <w:ilvl w:val="0"/>
          <w:numId w:val="12"/>
        </w:numPr>
        <w:spacing w:after="0" w:line="240" w:lineRule="auto"/>
        <w:ind w:left="720" w:hanging="360"/>
        <w:jc w:val="both"/>
        <w:rPr>
          <w:u w:val="none"/>
        </w:rPr>
      </w:pPr>
      <w:r w:rsidDel="00000000" w:rsidR="00000000" w:rsidRPr="00000000">
        <w:rPr>
          <w:rtl w:val="0"/>
        </w:rPr>
        <w:t xml:space="preserve">Hrvatska – potreba za vještinama, znanjem i kompetencijama koje se promatraju zajedno jer su nerazdvojne; alat "Globalni pogled" za jačanje konkurentnosti na nacionalnoj razini i unutar EU-a, s posebnim naglaskom na nove tehnologije u obrazovanju poput umjetne inteligencije (AI) i virtualne stvarnosti (VR), koje će biti ugrađene u proces procjene.</w:t>
      </w:r>
    </w:p>
    <w:p w:rsidR="00000000" w:rsidDel="00000000" w:rsidP="00000000" w:rsidRDefault="00000000" w:rsidRPr="00000000" w14:paraId="000000A0">
      <w:pPr>
        <w:numPr>
          <w:ilvl w:val="0"/>
          <w:numId w:val="12"/>
        </w:numPr>
        <w:spacing w:after="0" w:line="240" w:lineRule="auto"/>
        <w:ind w:left="720" w:hanging="360"/>
        <w:jc w:val="both"/>
        <w:rPr>
          <w:u w:val="none"/>
        </w:rPr>
      </w:pPr>
      <w:r w:rsidDel="00000000" w:rsidR="00000000" w:rsidRPr="00000000">
        <w:rPr>
          <w:rtl w:val="0"/>
        </w:rPr>
      </w:r>
    </w:p>
    <w:p w:rsidR="00000000" w:rsidDel="00000000" w:rsidP="00000000" w:rsidRDefault="00000000" w:rsidRPr="00000000" w14:paraId="000000A1">
      <w:pPr>
        <w:numPr>
          <w:ilvl w:val="0"/>
          <w:numId w:val="12"/>
        </w:numPr>
        <w:spacing w:after="0" w:line="240" w:lineRule="auto"/>
        <w:ind w:left="720" w:hanging="360"/>
        <w:jc w:val="both"/>
        <w:rPr>
          <w:u w:val="none"/>
        </w:rPr>
      </w:pPr>
      <w:r w:rsidDel="00000000" w:rsidR="00000000" w:rsidRPr="00000000">
        <w:rPr>
          <w:rtl w:val="0"/>
        </w:rPr>
        <w:t xml:space="preserve">Francuska – potreba za inkluzivnošću uz istovremeni razvoj procjene uzimajući u obzir Europski okvir; lokalna, regionalna i međunarodna procjena prateći najnovije trendove.</w:t>
      </w:r>
    </w:p>
    <w:p w:rsidR="00000000" w:rsidDel="00000000" w:rsidP="00000000" w:rsidRDefault="00000000" w:rsidRPr="00000000" w14:paraId="000000A2">
      <w:pPr>
        <w:numPr>
          <w:ilvl w:val="0"/>
          <w:numId w:val="12"/>
        </w:numPr>
        <w:spacing w:after="0" w:line="240" w:lineRule="auto"/>
        <w:ind w:left="720" w:hanging="360"/>
        <w:jc w:val="both"/>
        <w:rPr>
          <w:u w:val="none"/>
        </w:rPr>
      </w:pPr>
      <w:r w:rsidDel="00000000" w:rsidR="00000000" w:rsidRPr="00000000">
        <w:rPr>
          <w:rtl w:val="0"/>
        </w:rPr>
      </w:r>
    </w:p>
    <w:p w:rsidR="00000000" w:rsidDel="00000000" w:rsidP="00000000" w:rsidRDefault="00000000" w:rsidRPr="00000000" w14:paraId="000000A3">
      <w:pPr>
        <w:numPr>
          <w:ilvl w:val="0"/>
          <w:numId w:val="12"/>
        </w:numPr>
        <w:spacing w:after="0" w:line="240" w:lineRule="auto"/>
        <w:ind w:left="720" w:hanging="360"/>
        <w:jc w:val="both"/>
        <w:rPr>
          <w:u w:val="none"/>
        </w:rPr>
      </w:pPr>
      <w:r w:rsidDel="00000000" w:rsidR="00000000" w:rsidRPr="00000000">
        <w:rPr>
          <w:rtl w:val="0"/>
        </w:rPr>
        <w:t xml:space="preserve">Cipar – procjena usmjerena na mjerenje potreba tržišta rada, ali uzimajući u obzir ciljeve održivog razvoja (SDG), građansku participaciju i digitalne probleme kao fokus; robustni kriteriji ocjenjivanja usmjereni na kvalitetu i standarde.</w:t>
      </w:r>
    </w:p>
    <w:p w:rsidR="00000000" w:rsidDel="00000000" w:rsidP="00000000" w:rsidRDefault="00000000" w:rsidRPr="00000000" w14:paraId="000000A4">
      <w:pPr>
        <w:numPr>
          <w:ilvl w:val="0"/>
          <w:numId w:val="12"/>
        </w:numPr>
        <w:spacing w:after="0" w:line="240" w:lineRule="auto"/>
        <w:ind w:left="720" w:hanging="360"/>
        <w:jc w:val="both"/>
        <w:rPr>
          <w:u w:val="none"/>
        </w:rPr>
      </w:pPr>
      <w:r w:rsidDel="00000000" w:rsidR="00000000" w:rsidRPr="00000000">
        <w:rPr>
          <w:rtl w:val="0"/>
        </w:rPr>
      </w:r>
    </w:p>
    <w:p w:rsidR="00000000" w:rsidDel="00000000" w:rsidP="00000000" w:rsidRDefault="00000000" w:rsidRPr="00000000" w14:paraId="000000A5">
      <w:pPr>
        <w:numPr>
          <w:ilvl w:val="0"/>
          <w:numId w:val="12"/>
        </w:numPr>
        <w:spacing w:after="0" w:line="240" w:lineRule="auto"/>
        <w:ind w:left="720" w:hanging="360"/>
        <w:jc w:val="both"/>
        <w:rPr>
          <w:u w:val="none"/>
        </w:rPr>
      </w:pPr>
      <w:r w:rsidDel="00000000" w:rsidR="00000000" w:rsidRPr="00000000">
        <w:rPr>
          <w:rtl w:val="0"/>
        </w:rPr>
        <w:t xml:space="preserve">Portugal – svi stručnjaci su se složili o potrebi za alatom za procjenu i certifikaciju koji uključuje digitalne vještine; alat bi trebao biti primjenjiv u cijeloj EU radi povećanja konkurentnosti i održivosti.</w:t>
      </w:r>
    </w:p>
    <w:p w:rsidR="00000000" w:rsidDel="00000000" w:rsidP="00000000" w:rsidRDefault="00000000" w:rsidRPr="00000000" w14:paraId="000000A6">
      <w:pPr>
        <w:spacing w:after="0" w:line="240" w:lineRule="auto"/>
        <w:jc w:val="both"/>
        <w:rPr/>
      </w:pP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t xml:space="preserve">S kvantitativnog stajališta, postojala je velika podrška (više od 80%) svih stručnjaka koji su tražili alat za akreditaciju i certifikaciju koji je bio održiv i koji bi zadovoljavao trenutačne i buduće potrebe na radnom mjestu te bi bio prilagođen razlikama u vještinama. Sve partnerske zemlje također su izrazile želju za alatom za procjenu (više od 70%) s međunarodnim dosezima koji bi pružateljima i učenicima omogućio upravljanje kvalifikacijama, barem unutar cijele mreže EU-a.</w:t>
      </w:r>
    </w:p>
    <w:p w:rsidR="00000000" w:rsidDel="00000000" w:rsidP="00000000" w:rsidRDefault="00000000" w:rsidRPr="00000000" w14:paraId="000000A8">
      <w:pPr>
        <w:spacing w:after="0" w:line="240" w:lineRule="auto"/>
        <w:jc w:val="both"/>
        <w:rPr/>
      </w:pPr>
      <w:r w:rsidDel="00000000" w:rsidR="00000000" w:rsidRPr="00000000">
        <w:rPr>
          <w:rtl w:val="0"/>
        </w:rPr>
      </w:r>
    </w:p>
    <w:p w:rsidR="00000000" w:rsidDel="00000000" w:rsidP="00000000" w:rsidRDefault="00000000" w:rsidRPr="00000000" w14:paraId="000000A9">
      <w:pPr>
        <w:spacing w:after="0" w:line="240" w:lineRule="auto"/>
        <w:jc w:val="both"/>
        <w:rPr/>
      </w:pPr>
      <w:r w:rsidDel="00000000" w:rsidR="00000000" w:rsidRPr="00000000">
        <w:rPr>
          <w:rtl w:val="0"/>
        </w:rPr>
        <w:t xml:space="preserve">Stoga, alat EU-CERT Tool obuhvaća robustnu digitalnu infrastrukturu koja se pridržava globalnih standarda kvalitete unutar EU-a. Uključuje koncepte Ciljeva održivog razvoja (SDG) i potpuno je održiv.</w:t>
      </w:r>
    </w:p>
    <w:p w:rsidR="00000000" w:rsidDel="00000000" w:rsidP="00000000" w:rsidRDefault="00000000" w:rsidRPr="00000000" w14:paraId="000000AA">
      <w:pPr>
        <w:spacing w:after="0" w:line="240" w:lineRule="auto"/>
        <w:jc w:val="both"/>
        <w:rPr>
          <w:b w:val="1"/>
        </w:rPr>
      </w:pPr>
      <w:r w:rsidDel="00000000" w:rsidR="00000000" w:rsidRPr="00000000">
        <w:rPr>
          <w:rtl w:val="0"/>
        </w:rPr>
      </w:r>
    </w:p>
    <w:p w:rsidR="00000000" w:rsidDel="00000000" w:rsidP="00000000" w:rsidRDefault="00000000" w:rsidRPr="00000000" w14:paraId="000000AB">
      <w:pPr>
        <w:spacing w:after="0" w:line="240" w:lineRule="auto"/>
        <w:jc w:val="both"/>
        <w:rPr>
          <w:b w:val="1"/>
        </w:rPr>
      </w:pPr>
      <w:r w:rsidDel="00000000" w:rsidR="00000000" w:rsidRPr="00000000">
        <w:rPr>
          <w:b w:val="1"/>
          <w:rtl w:val="0"/>
        </w:rPr>
        <w:t xml:space="preserve">PR 02 i 03</w:t>
      </w:r>
    </w:p>
    <w:p w:rsidR="00000000" w:rsidDel="00000000" w:rsidP="00000000" w:rsidRDefault="00000000" w:rsidRPr="00000000" w14:paraId="000000AC">
      <w:pPr>
        <w:spacing w:after="0" w:line="240" w:lineRule="auto"/>
        <w:jc w:val="both"/>
        <w:rPr/>
      </w:pPr>
      <w:r w:rsidDel="00000000" w:rsidR="00000000" w:rsidRPr="00000000">
        <w:rPr>
          <w:rtl w:val="0"/>
        </w:rPr>
        <w:t xml:space="preserve">Osim analize potreba (koja je obuhvatila 200 trenera i 50 pružatelja usluga obrazovanja odraslih), konzorcij je proveo detaljno istraživanje s 25 stručnjaka (5 po partneru) iz područja akreditacije i osoba koje rade u sektoru obrazovanja odraslih s nekoliko godina iskustva u tom sektoru. Ti stručnjaci i treneri sudjelovali su u pilot-studiji s EU-CERT grupom kako bi identificirali dizajn, sadržaj i korisničko iskustvo akreditacijskog alata. Akreditacijski i certifikacijski alat EU-CERT temelji se na dva osnovna koncepta:</w:t>
      </w:r>
    </w:p>
    <w:p w:rsidR="00000000" w:rsidDel="00000000" w:rsidP="00000000" w:rsidRDefault="00000000" w:rsidRPr="00000000" w14:paraId="000000AD">
      <w:pPr>
        <w:spacing w:after="0" w:line="240" w:lineRule="auto"/>
        <w:jc w:val="both"/>
        <w:rPr/>
      </w:pPr>
      <w:r w:rsidDel="00000000" w:rsidR="00000000" w:rsidRPr="00000000">
        <w:rPr>
          <w:rtl w:val="0"/>
        </w:rPr>
      </w:r>
    </w:p>
    <w:p w:rsidR="00000000" w:rsidDel="00000000" w:rsidP="00000000" w:rsidRDefault="00000000" w:rsidRPr="00000000" w14:paraId="000000AE">
      <w:pPr>
        <w:numPr>
          <w:ilvl w:val="0"/>
          <w:numId w:val="15"/>
        </w:numPr>
        <w:spacing w:after="0" w:line="240" w:lineRule="auto"/>
        <w:ind w:left="720" w:hanging="360"/>
        <w:jc w:val="both"/>
        <w:rPr>
          <w:u w:val="none"/>
        </w:rPr>
      </w:pPr>
      <w:r w:rsidDel="00000000" w:rsidR="00000000" w:rsidRPr="00000000">
        <w:rPr>
          <w:rtl w:val="0"/>
        </w:rPr>
        <w:t xml:space="preserve">Akreditacija institucije i sustava</w:t>
      </w:r>
    </w:p>
    <w:p w:rsidR="00000000" w:rsidDel="00000000" w:rsidP="00000000" w:rsidRDefault="00000000" w:rsidRPr="00000000" w14:paraId="000000AF">
      <w:pPr>
        <w:numPr>
          <w:ilvl w:val="0"/>
          <w:numId w:val="15"/>
        </w:numPr>
        <w:spacing w:after="0" w:line="240" w:lineRule="auto"/>
        <w:ind w:left="720" w:hanging="360"/>
        <w:jc w:val="both"/>
        <w:rPr>
          <w:u w:val="none"/>
        </w:rPr>
      </w:pPr>
      <w:r w:rsidDel="00000000" w:rsidR="00000000" w:rsidRPr="00000000">
        <w:rPr>
          <w:rtl w:val="0"/>
        </w:rPr>
        <w:t xml:space="preserve">Tečajevi, materijali, otvoreni obrazovni resursi (OER) i akreditacija proizvoda</w:t>
      </w:r>
    </w:p>
    <w:p w:rsidR="00000000" w:rsidDel="00000000" w:rsidP="00000000" w:rsidRDefault="00000000" w:rsidRPr="00000000" w14:paraId="000000B0">
      <w:pPr>
        <w:spacing w:after="0" w:line="240" w:lineRule="auto"/>
        <w:jc w:val="both"/>
        <w:rPr/>
      </w:pP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rtl w:val="0"/>
        </w:rPr>
        <w:t xml:space="preserve">Nakon utvrđivanja kriterija za akreditaciju i certifikaciju za EU-CERT, razvijen je akreditacijski alat u 17 koraka. Testiranje je uključivalo daljnju interakciju sa svim partnerima i 5 stručnjaka iz svake zemlje. Na taj način, više od 300 pojedinaca sudjelovalo je u testiranju i ispitivanju alata EU-CERT za akreditaciju i certifikaciju, koji je sada dostupan kao OER.</w:t>
      </w:r>
    </w:p>
    <w:p w:rsidR="00000000" w:rsidDel="00000000" w:rsidP="00000000" w:rsidRDefault="00000000" w:rsidRPr="00000000" w14:paraId="000000B2">
      <w:pPr>
        <w:spacing w:after="0" w:line="240" w:lineRule="auto"/>
        <w:jc w:val="both"/>
        <w:rPr/>
      </w:pP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drawing>
          <wp:inline distB="0" distT="0" distL="0" distR="0">
            <wp:extent cx="5731510" cy="3223895"/>
            <wp:effectExtent b="0" l="0" r="0" t="0"/>
            <wp:docPr id="53148879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r>
    </w:p>
    <w:p w:rsidR="00000000" w:rsidDel="00000000" w:rsidP="00000000" w:rsidRDefault="00000000" w:rsidRPr="00000000" w14:paraId="000000B6">
      <w:pPr>
        <w:spacing w:after="0" w:line="240" w:lineRule="auto"/>
        <w:jc w:val="both"/>
        <w:rPr>
          <w:b w:val="1"/>
        </w:rPr>
      </w:pPr>
      <w:r w:rsidDel="00000000" w:rsidR="00000000" w:rsidRPr="00000000">
        <w:rPr>
          <w:b w:val="1"/>
          <w:rtl w:val="0"/>
        </w:rPr>
        <w:t xml:space="preserve">PR 04</w:t>
      </w:r>
    </w:p>
    <w:p w:rsidR="00000000" w:rsidDel="00000000" w:rsidP="00000000" w:rsidRDefault="00000000" w:rsidRPr="00000000" w14:paraId="000000B7">
      <w:pPr>
        <w:spacing w:after="0" w:line="240" w:lineRule="auto"/>
        <w:jc w:val="both"/>
        <w:rPr/>
      </w:pPr>
      <w:r w:rsidDel="00000000" w:rsidR="00000000" w:rsidRPr="00000000">
        <w:rPr>
          <w:rtl w:val="0"/>
        </w:rPr>
        <w:t xml:space="preserve">Izrađen je detaljan i sveobuhvatan vodič namijenjen kako korisnicima tako i evaluatorima. To su korak-po-korak upute o tome kako mogu pomoći svakom korisniku i ocjenjivaču u procesu akreditacije i certifikacije. </w:t>
      </w:r>
    </w:p>
    <w:p w:rsidR="00000000" w:rsidDel="00000000" w:rsidP="00000000" w:rsidRDefault="00000000" w:rsidRPr="00000000" w14:paraId="000000B8">
      <w:pPr>
        <w:spacing w:after="0" w:line="240" w:lineRule="auto"/>
        <w:jc w:val="both"/>
        <w:rPr/>
      </w:pPr>
      <w:r w:rsidDel="00000000" w:rsidR="00000000" w:rsidRPr="00000000">
        <w:rPr>
          <w:rtl w:val="0"/>
        </w:rPr>
        <w:t xml:space="preserve">Akreditacija EU-CERT podrazumijeva rigorozno ispitivanje kvalitete, procjenu čimbenika (npr. za kurikulum), fakulteta, resursa i ishoda diljem pružatelja obrazovanja odraslih u EU. S druge strane, EU-CERT Certifikacija usmjerena je na pojedince i učenike te na vještine, znanja i kompetencije koje stječu tijekom svojih putovanja cjeloživotnog učenja.</w:t>
      </w:r>
    </w:p>
    <w:p w:rsidR="00000000" w:rsidDel="00000000" w:rsidP="00000000" w:rsidRDefault="00000000" w:rsidRPr="00000000" w14:paraId="000000B9">
      <w:pPr>
        <w:spacing w:after="0" w:line="240" w:lineRule="auto"/>
        <w:jc w:val="both"/>
        <w:rPr/>
      </w:pPr>
      <w:r w:rsidDel="00000000" w:rsidR="00000000" w:rsidRPr="00000000">
        <w:rPr>
          <w:rtl w:val="0"/>
        </w:rPr>
      </w:r>
    </w:p>
    <w:p w:rsidR="00000000" w:rsidDel="00000000" w:rsidP="00000000" w:rsidRDefault="00000000" w:rsidRPr="00000000" w14:paraId="000000BA">
      <w:pPr>
        <w:spacing w:after="0" w:line="240" w:lineRule="auto"/>
        <w:jc w:val="both"/>
        <w:rPr>
          <w:b w:val="1"/>
        </w:rPr>
      </w:pPr>
      <w:r w:rsidDel="00000000" w:rsidR="00000000" w:rsidRPr="00000000">
        <w:rPr>
          <w:b w:val="1"/>
          <w:rtl w:val="0"/>
        </w:rPr>
        <w:t xml:space="preserve">PR 05</w:t>
      </w:r>
    </w:p>
    <w:p w:rsidR="00000000" w:rsidDel="00000000" w:rsidP="00000000" w:rsidRDefault="00000000" w:rsidRPr="00000000" w14:paraId="000000BB">
      <w:pPr>
        <w:spacing w:after="0" w:line="240" w:lineRule="auto"/>
        <w:jc w:val="both"/>
        <w:rPr/>
      </w:pPr>
      <w:r w:rsidDel="00000000" w:rsidR="00000000" w:rsidRPr="00000000">
        <w:rPr>
          <w:rtl w:val="0"/>
        </w:rPr>
        <w:t xml:space="preserve">Fazu uvođenja podupire priručnik i pojednostavljene serije videozapisa. Korisnici i procjenitelji su opušteni s animiranim videozapisima. Korisnici i ocjenjivači vode se od uvođenja u EU-CERT projekt, procesa online registracije, ispunjavanja obrazaca za akreditaciju (za institucije) ili certifikaciju (za proizvode - tečajeve, materijale OER) do konačnih rezultata. Uključujući rezultate istraživanja i istraživanja, EU-CERT Tool olakšava potrebi svakog pružatelja usluga obrazovanja odraslih za akreditacijom ili certifikacijom na temelju čvrstih kriterija, povećavajući konkurentnost i održivost pružatelja na nacionalnoj i međunarodnoj razini.</w:t>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spacing w:after="0" w:line="240" w:lineRule="auto"/>
        <w:jc w:val="both"/>
        <w:rPr>
          <w:b w:val="1"/>
        </w:rPr>
      </w:pPr>
      <w:r w:rsidDel="00000000" w:rsidR="00000000" w:rsidRPr="00000000">
        <w:rPr>
          <w:b w:val="1"/>
          <w:rtl w:val="0"/>
        </w:rPr>
        <w:t xml:space="preserve">PR 06</w:t>
      </w:r>
    </w:p>
    <w:p w:rsidR="00000000" w:rsidDel="00000000" w:rsidP="00000000" w:rsidRDefault="00000000" w:rsidRPr="00000000" w14:paraId="000000BE">
      <w:pPr>
        <w:spacing w:after="0" w:line="240" w:lineRule="auto"/>
        <w:jc w:val="both"/>
        <w:rPr/>
      </w:pPr>
      <w:r w:rsidDel="00000000" w:rsidR="00000000" w:rsidRPr="00000000">
        <w:rPr>
          <w:rtl w:val="0"/>
        </w:rPr>
        <w:t xml:space="preserve">Ovaj Dokument o politici – Otključavanje Uprave kvalitete i Akreditacije za Sektor Obrazovanje odraslih</w:t>
      </w:r>
    </w:p>
    <w:p w:rsidR="00000000" w:rsidDel="00000000" w:rsidP="00000000" w:rsidRDefault="00000000" w:rsidRPr="00000000" w14:paraId="000000BF">
      <w:pPr>
        <w:spacing w:after="0"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C0">
      <w:pPr>
        <w:spacing w:after="0" w:line="240" w:lineRule="auto"/>
        <w:jc w:val="both"/>
        <w:rPr/>
      </w:pPr>
      <w:r w:rsidDel="00000000" w:rsidR="00000000" w:rsidRPr="00000000">
        <w:rPr>
          <w:rtl w:val="0"/>
        </w:rPr>
      </w:r>
    </w:p>
    <w:p w:rsidR="00000000" w:rsidDel="00000000" w:rsidP="00000000" w:rsidRDefault="00000000" w:rsidRPr="00000000" w14:paraId="000000C1">
      <w:pPr>
        <w:pStyle w:val="Heading1"/>
        <w:numPr>
          <w:ilvl w:val="0"/>
          <w:numId w:val="5"/>
        </w:numPr>
        <w:spacing w:after="0" w:line="240" w:lineRule="auto"/>
        <w:ind w:left="720" w:hanging="360"/>
        <w:jc w:val="both"/>
        <w:rPr/>
      </w:pPr>
      <w:bookmarkStart w:colFirst="0" w:colLast="0" w:name="_heading=h.gs7l3c92ngvs" w:id="10"/>
      <w:bookmarkEnd w:id="10"/>
      <w:r w:rsidDel="00000000" w:rsidR="00000000" w:rsidRPr="00000000">
        <w:rPr>
          <w:vertAlign w:val="baseline"/>
          <w:rtl w:val="0"/>
        </w:rPr>
        <w:t xml:space="preserve">Kako EU-CERT doprinosi ukupnom Okviru EU-a</w:t>
      </w: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Alat EU-CERT Accreditation and Certification (A&amp;C) značajno doprinosi ukupnom Okviru EU-a usklađivanjem s raznim politikama i inicijativama Europske unije i njihovom potporom.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i) Usklađivanje s politikama EU-a: </w:t>
      </w:r>
      <w:r w:rsidDel="00000000" w:rsidR="00000000" w:rsidRPr="00000000">
        <w:rPr>
          <w:rtl w:val="0"/>
        </w:rPr>
        <w:t xml:space="preserve">Postupak ocjenjivanja temeljen na kriterijima EU-CERT Toola podržava mnoge politike EU-a, usklađujući se s ključnim konceptima i područjima istraživanja. To doprinosi:</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w:t>
      </w:r>
      <w:r w:rsidDel="00000000" w:rsidR="00000000" w:rsidRPr="00000000">
        <w:rPr>
          <w:i w:val="1"/>
          <w:rtl w:val="0"/>
        </w:rPr>
        <w:t xml:space="preserve">Poboljšanju konkurentnosti:</w:t>
      </w:r>
      <w:r w:rsidDel="00000000" w:rsidR="00000000" w:rsidRPr="00000000">
        <w:rPr>
          <w:rtl w:val="0"/>
        </w:rPr>
        <w:t xml:space="preserve"> Omogućavanjem stjecanja kvalifikacija koje odgovaraju potrebama tržišta rada, alat doprinosi poboljšanju konkurentnosti zemalja EU-a.</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w:t>
      </w:r>
      <w:r w:rsidDel="00000000" w:rsidR="00000000" w:rsidRPr="00000000">
        <w:rPr>
          <w:i w:val="1"/>
          <w:rtl w:val="0"/>
        </w:rPr>
        <w:t xml:space="preserve">Promicanju Socijalne Kohezije:</w:t>
      </w:r>
      <w:r w:rsidDel="00000000" w:rsidR="00000000" w:rsidRPr="00000000">
        <w:rPr>
          <w:rtl w:val="0"/>
        </w:rPr>
        <w:t xml:space="preserve"> Namijenjen ranjivim skupinama, alat pomaže u razvoju socijalne kohezije i smanjenju prepreka obrazovanju i zapošljavanju.</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w:t>
      </w:r>
      <w:r w:rsidDel="00000000" w:rsidR="00000000" w:rsidRPr="00000000">
        <w:rPr>
          <w:i w:val="1"/>
          <w:rtl w:val="0"/>
        </w:rPr>
        <w:t xml:space="preserve">Poboljšanju blagostanja:</w:t>
      </w:r>
      <w:r w:rsidDel="00000000" w:rsidR="00000000" w:rsidRPr="00000000">
        <w:rPr>
          <w:rtl w:val="0"/>
        </w:rPr>
        <w:t xml:space="preserve"> Promicanjem aktivnog sudjelovanja i demokratskog angažmana doprinosi se povećanju ukupnog blagostanja građana, potičući uključivije i participativnije društvo.</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ii) Potpora Erasmus+ i Nacionalni programi: </w:t>
      </w:r>
      <w:r w:rsidDel="00000000" w:rsidR="00000000" w:rsidRPr="00000000">
        <w:rPr>
          <w:rtl w:val="0"/>
        </w:rPr>
        <w:t xml:space="preserve">Pojednostavljen, ali strogi proces ocjenjivanja alata EU-CERT A&amp;C omogućuje precizne evaluacije ključne za održavanje visokih standarda kvalitete u projektima unutar programa Erasmus+ i drugih nacionalnih inicijativa. Centralizirani pristup akreditaciji i certifikaciji povećava kvalitetu i dosljednost obrazovnih projekata u cijeloj Europi.</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iii) Utemeljen na Evidencijama i Istraživanjima: </w:t>
      </w:r>
      <w:r w:rsidDel="00000000" w:rsidR="00000000" w:rsidRPr="00000000">
        <w:rPr>
          <w:rtl w:val="0"/>
        </w:rPr>
        <w:t xml:space="preserve">EU-CERT A&amp;C Tool temelji se na istraživanjima i dokazima, oslanjajući se na uspješne čimbenike identificirane u studijama poput "Studije o analizi politika obrazovanja odraslih i njihovoj učinkovitosti u Europi" (Europska komisija, 16. lipnja 2014.). Ovo osigurava da je alat učinkovit i usklađen s trenutnim obrazovnim strategijama i politikama.</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iv) Potpora Cjeloživotnom učenju i Zapošljivosti: </w:t>
      </w:r>
      <w:r w:rsidDel="00000000" w:rsidR="00000000" w:rsidRPr="00000000">
        <w:rPr>
          <w:rtl w:val="0"/>
        </w:rPr>
        <w:t xml:space="preserve">Alat podržava europski pristup mikrokreditima za cjeloživotno učenje i zapošljivost. Cilj je ovog pristupa, usvojenog 16. lipnja 2022., povećati vještine i kompetencije pojedinaca kako bi se riješio problem nedostatka vještina diljem EU-27. Kontinuirano usavršavanje i prekvalifikacija ključni su kako bi radnici mogli zadovoljiti zahtjeve svojih sadašnjih radnih mjesta ili prijeći na nove sektore i sektore koji se šire.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i w:val="1"/>
          <w:rtl w:val="0"/>
        </w:rPr>
        <w:t xml:space="preserve">v) Fleksibilnost i Learner-Centered procjene: </w:t>
      </w:r>
      <w:r w:rsidDel="00000000" w:rsidR="00000000" w:rsidRPr="00000000">
        <w:rPr>
          <w:rtl w:val="0"/>
        </w:rPr>
        <w:t xml:space="preserve">EU-CERT A&amp;C Tool nudi fleksibilne procjene usmjerene na učenike, obuhvaćajući širok spektar obrazovnih proizvoda, od punih kurikuluma i otvorenih obrazovnih resursa (OER) do kratkih tečajeva i pojedinačnih modula. Ta fleksibilnost podržava različite stilove učenja i osigurava da su procjene prilagođene specifičnim potrebama i ciljevima učenika.</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vi) Usklađivanje ECVET-a i ECTS-a: </w:t>
      </w:r>
      <w:r w:rsidDel="00000000" w:rsidR="00000000" w:rsidRPr="00000000">
        <w:rPr>
          <w:rtl w:val="0"/>
        </w:rPr>
        <w:t xml:space="preserve">Unutar okvira alata, nastojimo uskladiti Europski sustav prijenosa i akumulacije bodova (ECTS) i Europski sustav kreditnih bodova za strukovno obrazovanje i osposobljavanje (ECVET) s pouzdanim sustavom osiguranja kvalitete. Ovo usklađivanje olakšava priznavanje i prenosivost bodova u različitim obrazovnim kontekstima i institucijama te promiče mobilnost i cjeloživotno učenje.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vii) Dugotrajna Održivost i Osiguranje kvalitete: </w:t>
      </w:r>
      <w:r w:rsidDel="00000000" w:rsidR="00000000" w:rsidRPr="00000000">
        <w:rPr>
          <w:rtl w:val="0"/>
        </w:rPr>
        <w:t xml:space="preserve">Kroz temeljite analize procjene, EU-CERT A&amp;C Tool pruža čvrst sustav osiguranja kvalitete koji jamči dugoročnu održivost i pouzdanost obrazovnih procjena. Ovaj robusni sustav pomaže institucijama i pružateljima obrazovnih usluga da zadrže visoke standarde i postignu ciljane i fleksibilne ishode učenja.</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viii) Jačanje Europskog Obrazovnog Područja:</w:t>
      </w:r>
      <w:r w:rsidDel="00000000" w:rsidR="00000000" w:rsidRPr="00000000">
        <w:rPr>
          <w:rtl w:val="0"/>
        </w:rPr>
        <w:t xml:space="preserve"> EU-CERT Tool doprinosi ostvarenju European Education Area do 2025. godine, čiji je cilj stvoriti prostor u kojem granice neće ograničavati učenje, studiranje i provođenje istraživanja. Alat podržava priznavanje kvalifikacija i ishoda učenja unutar država članica EU-a, omogućavajući neometana obrazovna iskustva.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ix) Izgradnja Ekonomije temeljene na znanju:</w:t>
      </w:r>
      <w:r w:rsidDel="00000000" w:rsidR="00000000" w:rsidRPr="00000000">
        <w:rPr>
          <w:rtl w:val="0"/>
        </w:rPr>
        <w:t xml:space="preserve"> Unaprjeđenjem kvalitete i relevantnosti obrazovanja i osposobljavanja, alat EU-CERT Tool doprinosi razvoju ekonomije temeljene na znanju. Fokus na znanju i vještinama podupire gospodarski rast i konkurentnost EU-a na globalnom tržištu.</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sectPr>
          <w:type w:val="nextPage"/>
          <w:pgSz w:h="16838" w:w="11906" w:orient="portrait"/>
          <w:pgMar w:bottom="1440" w:top="1440" w:left="1440" w:right="1440" w:header="709" w:footer="709"/>
        </w:sectPr>
      </w:pPr>
      <w:r w:rsidDel="00000000" w:rsidR="00000000" w:rsidRPr="00000000">
        <w:rPr>
          <w:rtl w:val="0"/>
        </w:rPr>
        <w:t xml:space="preserve">Zaključno, održivi i primjereni sustav procjene i priznavanja kao što je EU-CERT A&amp;C Tool osigurava </w:t>
      </w:r>
      <w:r w:rsidDel="00000000" w:rsidR="00000000" w:rsidRPr="00000000">
        <w:rPr>
          <w:b w:val="1"/>
          <w:rtl w:val="0"/>
        </w:rPr>
        <w:t xml:space="preserve">dosljedno osiguranje kvalitete u svim državama članicama EU-27, pružajući jedinstven pristup obrazovnim standardima i praksama.</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E">
      <w:pPr>
        <w:pStyle w:val="Heading1"/>
        <w:numPr>
          <w:ilvl w:val="0"/>
          <w:numId w:val="5"/>
        </w:numPr>
        <w:spacing w:after="0" w:line="240" w:lineRule="auto"/>
        <w:ind w:left="720" w:hanging="360"/>
        <w:jc w:val="both"/>
        <w:rPr>
          <w:u w:val="none"/>
        </w:rPr>
      </w:pPr>
      <w:bookmarkStart w:colFirst="0" w:colLast="0" w:name="_heading=h.3mu6dnwws2i7" w:id="11"/>
      <w:bookmarkEnd w:id="11"/>
      <w:r w:rsidDel="00000000" w:rsidR="00000000" w:rsidRPr="00000000">
        <w:rPr>
          <w:vertAlign w:val="baseline"/>
          <w:rtl w:val="0"/>
        </w:rPr>
        <w:t xml:space="preserve">Podrška za </w:t>
      </w:r>
      <w:r w:rsidDel="00000000" w:rsidR="00000000" w:rsidRPr="00000000">
        <w:rPr>
          <w:rtl w:val="0"/>
        </w:rPr>
        <w:t xml:space="preserve">EU-CERT</w:t>
      </w:r>
      <w:r w:rsidDel="00000000" w:rsidR="00000000" w:rsidRPr="00000000">
        <w:rPr>
          <w:vertAlign w:val="baseline"/>
          <w:rtl w:val="0"/>
        </w:rPr>
        <w:t xml:space="preserve"> Akreditacija u EU i šire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 xml:space="preserve">Kao što je već spomenuto, alat EU-CERT Akreditacije i Certifikacije (A&amp;C) usklađen je s mnogim politikama koje su razvijene i donesene na razini EU-a. Tijekom životnog ciklusa projekta od 28 mjeseci, partneri će također morati promovirati koncept EU-CERT A&amp;C na svojim tržištima i regijama. Postoje nekoliko strategija koje partneri mogu primijeniti kako bi unaprijedili ovaj koncept i poboljšali svoje profile u sektoru obrazovanja odraslih.</w:t>
      </w:r>
    </w:p>
    <w:p w:rsidR="00000000" w:rsidDel="00000000" w:rsidP="00000000" w:rsidRDefault="00000000" w:rsidRPr="00000000" w14:paraId="000000E2">
      <w:pPr>
        <w:jc w:val="both"/>
        <w:rPr>
          <w:b w:val="1"/>
        </w:rPr>
      </w:pPr>
      <w:r w:rsidDel="00000000" w:rsidR="00000000" w:rsidRPr="00000000">
        <w:rPr>
          <w:b w:val="1"/>
          <w:rtl w:val="0"/>
        </w:rPr>
        <w:t xml:space="preserve">Strategije za promicanje EU-CERT Akreditacija i Certifikacijskog alata</w:t>
      </w:r>
    </w:p>
    <w:p w:rsidR="00000000" w:rsidDel="00000000" w:rsidP="00000000" w:rsidRDefault="00000000" w:rsidRPr="00000000" w14:paraId="000000E3">
      <w:pPr>
        <w:jc w:val="both"/>
        <w:rPr>
          <w:b w:val="1"/>
        </w:rPr>
      </w:pPr>
      <w:r w:rsidDel="00000000" w:rsidR="00000000" w:rsidRPr="00000000">
        <w:rPr>
          <w:rtl w:val="0"/>
        </w:rPr>
      </w:r>
    </w:p>
    <w:p w:rsidR="00000000" w:rsidDel="00000000" w:rsidP="00000000" w:rsidRDefault="00000000" w:rsidRPr="00000000" w14:paraId="000000E4">
      <w:pPr>
        <w:numPr>
          <w:ilvl w:val="0"/>
          <w:numId w:val="14"/>
        </w:numPr>
        <w:ind w:left="720" w:hanging="360"/>
        <w:jc w:val="both"/>
        <w:rPr>
          <w:b w:val="1"/>
          <w:u w:val="none"/>
        </w:rPr>
      </w:pPr>
      <w:r w:rsidDel="00000000" w:rsidR="00000000" w:rsidRPr="00000000">
        <w:rPr>
          <w:b w:val="1"/>
          <w:rtl w:val="0"/>
        </w:rPr>
        <w:t xml:space="preserve">Razvoj Unutarnje Strategije:</w:t>
      </w:r>
      <w:r w:rsidDel="00000000" w:rsidR="00000000" w:rsidRPr="00000000">
        <w:rPr>
          <w:rtl w:val="0"/>
        </w:rPr>
      </w:r>
    </w:p>
    <w:p w:rsidR="00000000" w:rsidDel="00000000" w:rsidP="00000000" w:rsidRDefault="00000000" w:rsidRPr="00000000" w14:paraId="000000E5">
      <w:pPr>
        <w:spacing w:after="240" w:before="240" w:lineRule="auto"/>
        <w:jc w:val="both"/>
        <w:rPr/>
      </w:pPr>
      <w:r w:rsidDel="00000000" w:rsidR="00000000" w:rsidRPr="00000000">
        <w:rPr>
          <w:rtl w:val="0"/>
        </w:rPr>
        <w:t xml:space="preserve">Partneri bi trebali pregledati svoje interne radne dokumente i razviti nove strategije za promicanje EU-CERT Toola i vlastite organizacije. Ovo uključuje:</w:t>
      </w:r>
    </w:p>
    <w:p w:rsidR="00000000" w:rsidDel="00000000" w:rsidP="00000000" w:rsidRDefault="00000000" w:rsidRPr="00000000" w14:paraId="000000E6">
      <w:pPr>
        <w:spacing w:after="240" w:before="240" w:lineRule="auto"/>
        <w:ind w:left="720" w:firstLine="0"/>
        <w:rPr/>
      </w:pPr>
      <w:r w:rsidDel="00000000" w:rsidR="00000000" w:rsidRPr="00000000">
        <w:rPr>
          <w:rtl w:val="0"/>
        </w:rPr>
        <w:t xml:space="preserve">-Kontinuiranu obuku osoblja radi unaprjeđenja vještina.</w:t>
      </w:r>
    </w:p>
    <w:p w:rsidR="00000000" w:rsidDel="00000000" w:rsidP="00000000" w:rsidRDefault="00000000" w:rsidRPr="00000000" w14:paraId="000000E7">
      <w:pPr>
        <w:spacing w:after="240" w:before="240" w:lineRule="auto"/>
        <w:ind w:left="720" w:firstLine="0"/>
        <w:rPr/>
      </w:pPr>
      <w:r w:rsidDel="00000000" w:rsidR="00000000" w:rsidRPr="00000000">
        <w:rPr>
          <w:rtl w:val="0"/>
        </w:rPr>
        <w:t xml:space="preserve">-Razvoj i implementaciju novih proizvoda (kurikulumi, OER-ovi, mini/mikro akreditacije) u sustav.</w:t>
      </w:r>
    </w:p>
    <w:p w:rsidR="00000000" w:rsidDel="00000000" w:rsidP="00000000" w:rsidRDefault="00000000" w:rsidRPr="00000000" w14:paraId="000000E8">
      <w:pPr>
        <w:jc w:val="both"/>
        <w:rPr>
          <w:b w:val="1"/>
        </w:rPr>
      </w:pPr>
      <w:r w:rsidDel="00000000" w:rsidR="00000000" w:rsidRPr="00000000">
        <w:rPr>
          <w:rtl w:val="0"/>
        </w:rPr>
      </w:r>
    </w:p>
    <w:p w:rsidR="00000000" w:rsidDel="00000000" w:rsidP="00000000" w:rsidRDefault="00000000" w:rsidRPr="00000000" w14:paraId="000000E9">
      <w:pPr>
        <w:numPr>
          <w:ilvl w:val="0"/>
          <w:numId w:val="2"/>
        </w:numPr>
        <w:ind w:left="720" w:hanging="360"/>
        <w:jc w:val="both"/>
        <w:rPr>
          <w:b w:val="1"/>
          <w:u w:val="none"/>
        </w:rPr>
      </w:pPr>
      <w:r w:rsidDel="00000000" w:rsidR="00000000" w:rsidRPr="00000000">
        <w:rPr>
          <w:b w:val="1"/>
          <w:rtl w:val="0"/>
        </w:rPr>
        <w:t xml:space="preserve">Korištenje društvenih medija:</w:t>
      </w: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t xml:space="preserve">Iako su društvene mreže poput Facebooka, Instagrama i Linkedina korisne, ne bi trebale biti jedini kanal za promociju. Raznolik pristup je ključan.</w:t>
      </w:r>
    </w:p>
    <w:p w:rsidR="00000000" w:rsidDel="00000000" w:rsidP="00000000" w:rsidRDefault="00000000" w:rsidRPr="00000000" w14:paraId="000000EB">
      <w:pPr>
        <w:numPr>
          <w:ilvl w:val="0"/>
          <w:numId w:val="17"/>
        </w:numPr>
        <w:ind w:left="720" w:hanging="360"/>
        <w:jc w:val="both"/>
        <w:rPr>
          <w:b w:val="1"/>
          <w:u w:val="none"/>
        </w:rPr>
      </w:pPr>
      <w:r w:rsidDel="00000000" w:rsidR="00000000" w:rsidRPr="00000000">
        <w:rPr>
          <w:b w:val="1"/>
          <w:rtl w:val="0"/>
        </w:rPr>
        <w:t xml:space="preserve">Obrazovni Resursi:</w:t>
      </w: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t xml:space="preserve">Koristite pojednostavljeni korisnički vodič (npr. set od 5 videozapisa dostupnih na linku) unutar partnerskih organizacija i tijekom događanja diseminacije kako biste povećali svijest o EU-CERT A&amp;C alatu.</w:t>
      </w:r>
      <w:r w:rsidDel="00000000" w:rsidR="00000000" w:rsidRPr="00000000">
        <w:rPr>
          <w:rtl w:val="0"/>
        </w:rPr>
      </w:r>
    </w:p>
    <w:p w:rsidR="00000000" w:rsidDel="00000000" w:rsidP="00000000" w:rsidRDefault="00000000" w:rsidRPr="00000000" w14:paraId="000000ED">
      <w:pPr>
        <w:numPr>
          <w:ilvl w:val="0"/>
          <w:numId w:val="8"/>
        </w:numPr>
        <w:ind w:left="720" w:hanging="360"/>
        <w:jc w:val="both"/>
        <w:rPr>
          <w:b w:val="1"/>
          <w:u w:val="none"/>
        </w:rPr>
      </w:pPr>
      <w:r w:rsidDel="00000000" w:rsidR="00000000" w:rsidRPr="00000000">
        <w:rPr>
          <w:b w:val="1"/>
          <w:rtl w:val="0"/>
        </w:rPr>
        <w:t xml:space="preserve">Umrežavanje i suradnja:</w:t>
      </w: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t xml:space="preserve">Izgradite mrežu suradnje na kraju životnog ciklusa projekta, gdje svaki partner može preuzeti ulogu na temelju svojih resursa, kao što su raspoloživo vrijeme, ljudski resursi i trenutna strategija u sektoru obrazovanja odraslih.</w:t>
      </w:r>
    </w:p>
    <w:p w:rsidR="00000000" w:rsidDel="00000000" w:rsidP="00000000" w:rsidRDefault="00000000" w:rsidRPr="00000000" w14:paraId="000000EF">
      <w:pPr>
        <w:jc w:val="both"/>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t xml:space="preserve">Daljnja podrška i promicanje alata EU-CERT A&amp;C u kontekstu programa i projekata Erasmus+ mogli bi uključivati:</w:t>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numPr>
          <w:ilvl w:val="0"/>
          <w:numId w:val="13"/>
        </w:numPr>
        <w:ind w:left="720" w:hanging="360"/>
        <w:jc w:val="both"/>
        <w:rPr>
          <w:b w:val="1"/>
          <w:u w:val="none"/>
        </w:rPr>
      </w:pPr>
      <w:r w:rsidDel="00000000" w:rsidR="00000000" w:rsidRPr="00000000">
        <w:rPr>
          <w:b w:val="1"/>
          <w:rtl w:val="0"/>
        </w:rPr>
        <w:t xml:space="preserve">Proširenje Korisničke baze:</w:t>
      </w:r>
    </w:p>
    <w:p w:rsidR="00000000" w:rsidDel="00000000" w:rsidP="00000000" w:rsidRDefault="00000000" w:rsidRPr="00000000" w14:paraId="000000F3">
      <w:pPr>
        <w:jc w:val="both"/>
        <w:rPr/>
      </w:pPr>
      <w:r w:rsidDel="00000000" w:rsidR="00000000" w:rsidRPr="00000000">
        <w:rPr>
          <w:rtl w:val="0"/>
        </w:rPr>
        <w:t xml:space="preserve">Pozovite dodatne korisnike na nacionalnoj razini da iskoriste EU-CERT Tool i prijave se za akreditaciju svojih institucija i certifikaciju svojih tečajeva i drugih proizvoda.</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numPr>
          <w:ilvl w:val="0"/>
          <w:numId w:val="4"/>
        </w:numPr>
        <w:ind w:left="720" w:hanging="360"/>
        <w:jc w:val="both"/>
        <w:rPr>
          <w:b w:val="1"/>
        </w:rPr>
      </w:pPr>
      <w:r w:rsidDel="00000000" w:rsidR="00000000" w:rsidRPr="00000000">
        <w:rPr>
          <w:b w:val="1"/>
          <w:rtl w:val="0"/>
        </w:rPr>
        <w:t xml:space="preserve">Evaluatori zapošljavanja:</w:t>
      </w:r>
    </w:p>
    <w:p w:rsidR="00000000" w:rsidDel="00000000" w:rsidP="00000000" w:rsidRDefault="00000000" w:rsidRPr="00000000" w14:paraId="000000F6">
      <w:pPr>
        <w:jc w:val="both"/>
        <w:rPr/>
      </w:pPr>
      <w:r w:rsidDel="00000000" w:rsidR="00000000" w:rsidRPr="00000000">
        <w:rPr>
          <w:rtl w:val="0"/>
        </w:rPr>
        <w:t xml:space="preserve">Pozovite dodatne evaluatore iz partnerskih zemalja da koriste alat, osiguravajući široku bazu evaluatora.</w:t>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numPr>
          <w:ilvl w:val="0"/>
          <w:numId w:val="16"/>
        </w:numPr>
        <w:ind w:left="720" w:hanging="360"/>
        <w:jc w:val="both"/>
        <w:rPr>
          <w:b w:val="1"/>
          <w:u w:val="none"/>
        </w:rPr>
      </w:pPr>
      <w:r w:rsidDel="00000000" w:rsidR="00000000" w:rsidRPr="00000000">
        <w:rPr>
          <w:b w:val="1"/>
          <w:rtl w:val="0"/>
        </w:rPr>
        <w:t xml:space="preserve">Pristupačnost jezika:</w:t>
      </w:r>
    </w:p>
    <w:p w:rsidR="00000000" w:rsidDel="00000000" w:rsidP="00000000" w:rsidRDefault="00000000" w:rsidRPr="00000000" w14:paraId="000000F9">
      <w:pPr>
        <w:jc w:val="both"/>
        <w:rPr/>
      </w:pPr>
      <w:r w:rsidDel="00000000" w:rsidR="00000000" w:rsidRPr="00000000">
        <w:rPr>
          <w:rtl w:val="0"/>
        </w:rPr>
        <w:t xml:space="preserve">Promicati dostupnost EU-CERT Tool-a na svim partnerskim jezicima (hrvatskom, njemačkom, grčkom, francuskom, portugalskom i engleskom) kako biste potaknuli sudjelovanje sudionika koji više vole raditi na svom jeziku. Dodatno poboljšajte jezičnu dostupnost surađujući s međunarodnim partnerima za uključivanje dodatnih jezika.</w:t>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numPr>
          <w:ilvl w:val="0"/>
          <w:numId w:val="11"/>
        </w:numPr>
        <w:ind w:left="720" w:hanging="360"/>
        <w:jc w:val="both"/>
        <w:rPr>
          <w:b w:val="1"/>
          <w:u w:val="none"/>
        </w:rPr>
      </w:pPr>
      <w:r w:rsidDel="00000000" w:rsidR="00000000" w:rsidRPr="00000000">
        <w:rPr>
          <w:b w:val="1"/>
          <w:rtl w:val="0"/>
        </w:rPr>
        <w:t xml:space="preserve">Korištenje Baza podataka i mreža:</w:t>
      </w:r>
    </w:p>
    <w:p w:rsidR="00000000" w:rsidDel="00000000" w:rsidP="00000000" w:rsidRDefault="00000000" w:rsidRPr="00000000" w14:paraId="000000FC">
      <w:pPr>
        <w:jc w:val="both"/>
        <w:rPr/>
      </w:pPr>
      <w:r w:rsidDel="00000000" w:rsidR="00000000" w:rsidRPr="00000000">
        <w:rPr>
          <w:rtl w:val="0"/>
        </w:rPr>
        <w:t xml:space="preserve">Iskoristite interne baze podataka i kontakte na društvenim medijima kako biste dodali dodatne korisnike i evaluatore. Na primjer, ako svaki partner ima 1.000 kontakata u svojoj bazi podataka i mreži društvenih medija te samo 5% pretvori se u korisnike alata EU-CERT Tool, to bi rezultiralo s 50 novih korisnika po partneru, što čini ukupno 300 novih korisnika dodanih u mrežu EU-CERT preko šest partnera.</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numPr>
          <w:ilvl w:val="0"/>
          <w:numId w:val="9"/>
        </w:numPr>
        <w:ind w:left="720" w:hanging="360"/>
        <w:jc w:val="both"/>
        <w:rPr>
          <w:b w:val="1"/>
          <w:u w:val="none"/>
        </w:rPr>
      </w:pPr>
      <w:r w:rsidDel="00000000" w:rsidR="00000000" w:rsidRPr="00000000">
        <w:rPr>
          <w:b w:val="1"/>
          <w:rtl w:val="0"/>
        </w:rPr>
        <w:t xml:space="preserve">Certifikacijski Programi:</w:t>
      </w:r>
    </w:p>
    <w:p w:rsidR="00000000" w:rsidDel="00000000" w:rsidP="00000000" w:rsidRDefault="00000000" w:rsidRPr="00000000" w14:paraId="000000FF">
      <w:pPr>
        <w:jc w:val="both"/>
        <w:rPr/>
      </w:pPr>
      <w:r w:rsidDel="00000000" w:rsidR="00000000" w:rsidRPr="00000000">
        <w:rPr>
          <w:rtl w:val="0"/>
        </w:rPr>
        <w:t xml:space="preserve">Razviti certifikacijske programe za profesionalce koji su iskusni u korištenju alata EU-CERT A&amp;C. Ovi certifikati mogu dodati vrijednost profilima odgajatelja i administratora, osiguravajući da ostanu u toku s najnovijim najboljim praksama i napretkom u području obrazovanja odraslih.</w:t>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numPr>
          <w:ilvl w:val="0"/>
          <w:numId w:val="19"/>
        </w:numPr>
        <w:ind w:left="720" w:hanging="360"/>
        <w:jc w:val="both"/>
        <w:rPr>
          <w:b w:val="1"/>
          <w:u w:val="none"/>
        </w:rPr>
      </w:pPr>
      <w:r w:rsidDel="00000000" w:rsidR="00000000" w:rsidRPr="00000000">
        <w:rPr>
          <w:b w:val="1"/>
          <w:rtl w:val="0"/>
        </w:rPr>
        <w:t xml:space="preserve">Integracija s drugim platformama:</w:t>
      </w:r>
    </w:p>
    <w:p w:rsidR="00000000" w:rsidDel="00000000" w:rsidP="00000000" w:rsidRDefault="00000000" w:rsidRPr="00000000" w14:paraId="00000102">
      <w:pPr>
        <w:jc w:val="both"/>
        <w:rPr/>
      </w:pPr>
      <w:r w:rsidDel="00000000" w:rsidR="00000000" w:rsidRPr="00000000">
        <w:rPr>
          <w:rtl w:val="0"/>
        </w:rPr>
        <w:t xml:space="preserve">Istražite mogućnosti integracije EU-CERT Tool-a s drugim obrazovnim platformama i sustavima za upravljanje učenjem (LMS) radi pojednostavljenja postupka akreditacije, poboljšanja korisničkog iskustva i povećanja usvajanja.</w:t>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pStyle w:val="Heading1"/>
        <w:numPr>
          <w:ilvl w:val="0"/>
          <w:numId w:val="6"/>
        </w:numPr>
        <w:ind w:left="720" w:hanging="360"/>
        <w:jc w:val="both"/>
        <w:rPr>
          <w:rFonts w:ascii="Cambria" w:cs="Cambria" w:eastAsia="Cambria" w:hAnsi="Cambria"/>
          <w:color w:val="4f81bd"/>
          <w:sz w:val="32"/>
          <w:szCs w:val="32"/>
        </w:rPr>
      </w:pPr>
      <w:bookmarkStart w:colFirst="0" w:colLast="0" w:name="_heading=h.8rd08p3aj2ru" w:id="12"/>
      <w:bookmarkEnd w:id="12"/>
      <w:r w:rsidDel="00000000" w:rsidR="00000000" w:rsidRPr="00000000">
        <w:rPr>
          <w:rtl w:val="0"/>
        </w:rPr>
        <w:t xml:space="preserve">Zaključak </w:t>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t xml:space="preserve">Tijekom proteklih 28 mjeseci projektnog ciklusa, konzorcij EU-CERT, koji uključuje organizacije iz Njemačke (koordinator), Hrvatske, Cipra, Francuske i Portugala, uspješno je identificirao standarde kvalitete i implementirao robustan instrument za digitalnu procjenu za akreditaciju i certifikaciju projekata Erasmus+.</w:t>
      </w:r>
    </w:p>
    <w:p w:rsidR="00000000" w:rsidDel="00000000" w:rsidP="00000000" w:rsidRDefault="00000000" w:rsidRPr="00000000" w14:paraId="0000010D">
      <w:pPr>
        <w:jc w:val="both"/>
        <w:rPr/>
      </w:pPr>
      <w:r w:rsidDel="00000000" w:rsidR="00000000" w:rsidRPr="00000000">
        <w:rPr>
          <w:rtl w:val="0"/>
        </w:rPr>
        <w:t xml:space="preserve">Priznajući i rješavajući probleme i zabrinutosti u partnerskim zemljama, grupa EU-CERT uspostavila je i provela strogu, ali pravovremenu metodu za akreditaciju i potvrđivanje rezultata projekata Erasmus+. U skladu s različitim inicijativama, smjernicama i politikama EU-a, ti rezultati mogu poslužiti daljnjem razvoju sektora obrazovanja odraslih na temelju:</w:t>
      </w:r>
    </w:p>
    <w:p w:rsidR="00000000" w:rsidDel="00000000" w:rsidP="00000000" w:rsidRDefault="00000000" w:rsidRPr="00000000" w14:paraId="0000010E">
      <w:pPr>
        <w:jc w:val="both"/>
        <w:rPr/>
      </w:pPr>
      <w:r w:rsidDel="00000000" w:rsidR="00000000" w:rsidRPr="00000000">
        <w:rPr>
          <w:b w:val="1"/>
          <w:rtl w:val="0"/>
        </w:rPr>
        <w:t xml:space="preserve">Kvaliteta:</w:t>
      </w:r>
      <w:r w:rsidDel="00000000" w:rsidR="00000000" w:rsidRPr="00000000">
        <w:rPr>
          <w:rtl w:val="0"/>
        </w:rPr>
        <w:t xml:space="preserve"> Osiguravanje da obrazovne inicijative ispunjavaju visoke standarde kvalitete koje je utvrdio EU, čime se potiče izvrsnost u obrazovanju odraslih.</w:t>
      </w:r>
    </w:p>
    <w:p w:rsidR="00000000" w:rsidDel="00000000" w:rsidP="00000000" w:rsidRDefault="00000000" w:rsidRPr="00000000" w14:paraId="0000010F">
      <w:pPr>
        <w:jc w:val="both"/>
        <w:rPr/>
      </w:pPr>
      <w:r w:rsidDel="00000000" w:rsidR="00000000" w:rsidRPr="00000000">
        <w:rPr>
          <w:b w:val="1"/>
          <w:rtl w:val="0"/>
        </w:rPr>
        <w:t xml:space="preserve">Vidljivost i transparentnost:</w:t>
      </w:r>
      <w:r w:rsidDel="00000000" w:rsidR="00000000" w:rsidRPr="00000000">
        <w:rPr>
          <w:rtl w:val="0"/>
        </w:rPr>
        <w:t xml:space="preserve"> Jačanje transparentnosti i vidljivosti u sektoru obrazovanja odraslih, olakšavajući informirano donošenje odluka i odgovornost.</w:t>
      </w:r>
    </w:p>
    <w:p w:rsidR="00000000" w:rsidDel="00000000" w:rsidP="00000000" w:rsidRDefault="00000000" w:rsidRPr="00000000" w14:paraId="00000110">
      <w:pPr>
        <w:jc w:val="both"/>
        <w:rPr/>
      </w:pPr>
      <w:r w:rsidDel="00000000" w:rsidR="00000000" w:rsidRPr="00000000">
        <w:rPr>
          <w:b w:val="1"/>
          <w:rtl w:val="0"/>
        </w:rPr>
        <w:t xml:space="preserve">Potrebe usmjerene na učenika i prijenosne:</w:t>
      </w:r>
      <w:r w:rsidDel="00000000" w:rsidR="00000000" w:rsidRPr="00000000">
        <w:rPr>
          <w:rtl w:val="0"/>
        </w:rPr>
        <w:t xml:space="preserve"> Davanje prednosti potrebama učenika i promicanje prekogranične prenosivosti vještina i kvalifikacija, podupiranje cjeloživotnog učenja i mobilnosti.</w:t>
      </w:r>
    </w:p>
    <w:p w:rsidR="00000000" w:rsidDel="00000000" w:rsidP="00000000" w:rsidRDefault="00000000" w:rsidRPr="00000000" w14:paraId="00000111">
      <w:pPr>
        <w:jc w:val="both"/>
        <w:rPr/>
      </w:pPr>
      <w:r w:rsidDel="00000000" w:rsidR="00000000" w:rsidRPr="00000000">
        <w:rPr>
          <w:b w:val="1"/>
          <w:rtl w:val="0"/>
        </w:rPr>
        <w:t xml:space="preserve">Autentičnost i prepoznavanje:</w:t>
      </w:r>
      <w:r w:rsidDel="00000000" w:rsidR="00000000" w:rsidRPr="00000000">
        <w:rPr>
          <w:rtl w:val="0"/>
        </w:rPr>
        <w:t xml:space="preserve"> Osiguravanje vjerodostojnosti obrazovnih rezultata i promicanje njihova priznavanja u EU-u i na međunarodnoj razini.</w:t>
      </w:r>
    </w:p>
    <w:p w:rsidR="00000000" w:rsidDel="00000000" w:rsidP="00000000" w:rsidRDefault="00000000" w:rsidRPr="00000000" w14:paraId="00000112">
      <w:pPr>
        <w:jc w:val="both"/>
        <w:rPr/>
      </w:pPr>
      <w:r w:rsidDel="00000000" w:rsidR="00000000" w:rsidRPr="00000000">
        <w:rPr>
          <w:rtl w:val="0"/>
        </w:rPr>
        <w:t xml:space="preserve">EU-CERT Tool dodjeljuje raznim dionicima, uključujući edukatore za odrasle, instruktore, institucije, kreatore politika i učenike, održivu konkurentsku prednost diljem EU27 i šire. Promicanjem usvajanja visokokvalitetnih standarda i osiguravanjem pouzdanog mehanizma procjene, inicijativa EU-CERT usklađuje se s naporima EU-a u obrazovanju odraslih i podupire ih, posebno u okviru programa Erasmus+.</w:t>
      </w:r>
    </w:p>
    <w:p w:rsidR="00000000" w:rsidDel="00000000" w:rsidP="00000000" w:rsidRDefault="00000000" w:rsidRPr="00000000" w14:paraId="00000113">
      <w:pPr>
        <w:jc w:val="both"/>
        <w:rPr/>
        <w:sectPr>
          <w:type w:val="nextPage"/>
          <w:pgSz w:h="16838" w:w="11906" w:orient="portrait"/>
          <w:pgMar w:bottom="1440" w:top="1440" w:left="1440" w:right="1440" w:header="709" w:footer="709"/>
        </w:sectPr>
      </w:pPr>
      <w:r w:rsidDel="00000000" w:rsidR="00000000" w:rsidRPr="00000000">
        <w:rPr>
          <w:rtl w:val="0"/>
        </w:rPr>
        <w:t xml:space="preserve">Kroz posvećenost kvaliteti, transparentnosti, usredotočenosti na učenike i priznavanju, projekt EU-CERT pridonosi sveobuhvatnim ciljevima EU-a u poticanju uključivijeg, inovativnijeg i globalno konkurentnijeg sektora obrazovanja odraslih. Kako se projekt završava, njegov će utjecaj i dalje biti od presudne važnosti, što će potaknuti daljnji napredak i poboljšanja u praksama obrazovanja odraslih diljem Europe i šire.</w:t>
      </w:r>
    </w:p>
    <w:p w:rsidR="00000000" w:rsidDel="00000000" w:rsidP="00000000" w:rsidRDefault="00000000" w:rsidRPr="00000000" w14:paraId="00000114">
      <w:pPr>
        <w:spacing w:after="0" w:line="240" w:lineRule="auto"/>
        <w:jc w:val="both"/>
        <w:rPr/>
      </w:pPr>
      <w:r w:rsidDel="00000000" w:rsidR="00000000" w:rsidRPr="00000000">
        <w:rPr>
          <w:rtl w:val="0"/>
        </w:rPr>
      </w:r>
    </w:p>
    <w:p w:rsidR="00000000" w:rsidDel="00000000" w:rsidP="00000000" w:rsidRDefault="00000000" w:rsidRPr="00000000" w14:paraId="00000115">
      <w:pPr>
        <w:spacing w:after="0" w:line="240" w:lineRule="auto"/>
        <w:jc w:val="both"/>
        <w:rPr/>
      </w:pPr>
      <w:r w:rsidDel="00000000" w:rsidR="00000000" w:rsidRPr="00000000">
        <w:rPr>
          <w:rtl w:val="0"/>
        </w:rPr>
      </w:r>
    </w:p>
    <w:p w:rsidR="00000000" w:rsidDel="00000000" w:rsidP="00000000" w:rsidRDefault="00000000" w:rsidRPr="00000000" w14:paraId="00000116">
      <w:pPr>
        <w:spacing w:after="0" w:line="240" w:lineRule="auto"/>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spacing w:after="0" w:line="360" w:lineRule="auto"/>
        <w:ind w:firstLine="704"/>
        <w:rPr>
          <w:b w:val="1"/>
        </w:rPr>
      </w:pPr>
      <w:r w:rsidDel="00000000" w:rsidR="00000000" w:rsidRPr="00000000">
        <w:rPr>
          <w:rtl w:val="0"/>
        </w:rPr>
      </w:r>
    </w:p>
    <w:p w:rsidR="00000000" w:rsidDel="00000000" w:rsidP="00000000" w:rsidRDefault="00000000" w:rsidRPr="00000000" w14:paraId="0000011A">
      <w:pPr>
        <w:spacing w:after="0" w:line="360" w:lineRule="auto"/>
        <w:ind w:firstLine="704"/>
        <w:rPr>
          <w:rFonts w:ascii="Times New Roman" w:cs="Times New Roman" w:eastAsia="Times New Roman" w:hAnsi="Times New Roman"/>
          <w:i w:val="1"/>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0"/>
        <w:i w:val="0"/>
        <w:smallCaps w:val="0"/>
        <w:strike w:val="0"/>
        <w:color w:val="231f20"/>
        <w:sz w:val="16"/>
        <w:szCs w:val="16"/>
        <w:u w:val="none"/>
        <w:shd w:fill="auto" w:val="clear"/>
        <w:vertAlign w:val="baseline"/>
      </w:rPr>
    </w:pPr>
    <w:r w:rsidDel="00000000" w:rsidR="00000000" w:rsidRPr="00000000">
      <w:rPr>
        <w:rFonts w:ascii="Calibri" w:cs="Calibri" w:eastAsia="Calibri" w:hAnsi="Calibri"/>
        <w:b w:val="0"/>
        <w:i w:val="0"/>
        <w:smallCaps w:val="0"/>
        <w:strike w:val="0"/>
        <w:color w:val="231f20"/>
        <w:sz w:val="16"/>
        <w:szCs w:val="16"/>
        <w:u w:val="none"/>
        <w:shd w:fill="auto" w:val="clear"/>
        <w:vertAlign w:val="baseline"/>
        <w:rtl w:val="0"/>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Del="00000000" w:rsidR="00000000" w:rsidRPr="00000000">
      <w:drawing>
        <wp:anchor allowOverlap="1" behindDoc="1" distB="0" distT="0" distL="0" distR="0" hidden="0" layoutInCell="1" locked="0" relativeHeight="0" simplePos="0">
          <wp:simplePos x="0" y="0"/>
          <wp:positionH relativeFrom="column">
            <wp:posOffset>5349726</wp:posOffset>
          </wp:positionH>
          <wp:positionV relativeFrom="paragraph">
            <wp:posOffset>288290</wp:posOffset>
          </wp:positionV>
          <wp:extent cx="1061484" cy="400384"/>
          <wp:effectExtent b="0" l="0" r="0" t="0"/>
          <wp:wrapNone/>
          <wp:docPr id="53148879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61484" cy="400384"/>
                  </a:xfrm>
                  <a:prstGeom prst="rect"/>
                  <a:ln/>
                </pic:spPr>
              </pic:pic>
            </a:graphicData>
          </a:graphic>
        </wp:anchor>
      </w:drawing>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tabs>
        <w:tab w:val="left" w:leader="none" w:pos="6451"/>
      </w:tabs>
      <w:spacing w:after="0" w:line="24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1257300</wp:posOffset>
              </wp:positionH>
              <wp:positionV relativeFrom="paragraph">
                <wp:posOffset>-132079</wp:posOffset>
              </wp:positionV>
              <wp:extent cx="3019425" cy="571500"/>
              <wp:effectExtent b="0" l="0" r="0" t="0"/>
              <wp:wrapSquare wrapText="bothSides" distB="45720" distT="45720" distL="114300" distR="114300"/>
              <wp:docPr id="531488788" name=""/>
              <a:graphic>
                <a:graphicData uri="http://schemas.microsoft.com/office/word/2010/wordprocessingShape">
                  <wps:wsp>
                    <wps:cNvSpPr/>
                    <wps:cNvPr id="2" name="Shape 2"/>
                    <wps:spPr>
                      <a:xfrm>
                        <a:off x="3845850" y="3453600"/>
                        <a:ext cx="3000300" cy="652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r>
                          <w:r w:rsidDel="00000000" w:rsidR="00000000" w:rsidRPr="00000000">
                            <w:rPr>
                              <w:rFonts w:ascii="Arial" w:cs="Arial" w:eastAsia="Arial" w:hAnsi="Arial"/>
                              <w:b w:val="0"/>
                              <w:i w:val="1"/>
                              <w:smallCaps w:val="0"/>
                              <w:strike w:val="0"/>
                              <w:color w:val="808080"/>
                              <w:sz w:val="18"/>
                              <w:vertAlign w:val="baseline"/>
                            </w:rPr>
                            <w:t xml:space="preserve">Grant Agreement No.:</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2021-1-DE02-KA220-ADU-000033541</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Policy Paper PR06</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1257300</wp:posOffset>
              </wp:positionH>
              <wp:positionV relativeFrom="paragraph">
                <wp:posOffset>-132079</wp:posOffset>
              </wp:positionV>
              <wp:extent cx="3019425" cy="571500"/>
              <wp:effectExtent b="0" l="0" r="0" t="0"/>
              <wp:wrapSquare wrapText="bothSides" distB="45720" distT="45720" distL="114300" distR="114300"/>
              <wp:docPr id="53148878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19425" cy="571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-203199</wp:posOffset>
              </wp:positionV>
              <wp:extent cx="725170" cy="647700"/>
              <wp:effectExtent b="0" l="0" r="0" t="0"/>
              <wp:wrapNone/>
              <wp:docPr id="531488790" name=""/>
              <a:graphic>
                <a:graphicData uri="http://schemas.microsoft.com/office/word/2010/wordprocessingGroup">
                  <wpg:wgp>
                    <wpg:cNvGrpSpPr/>
                    <wpg:grpSpPr>
                      <a:xfrm>
                        <a:off x="4982975" y="3455675"/>
                        <a:ext cx="725170" cy="647700"/>
                        <a:chOff x="4982975" y="3455675"/>
                        <a:chExt cx="726050" cy="648650"/>
                      </a:xfrm>
                    </wpg:grpSpPr>
                    <wpg:grpSp>
                      <wpg:cNvGrpSpPr/>
                      <wpg:grpSpPr>
                        <a:xfrm>
                          <a:off x="4983415" y="3456150"/>
                          <a:ext cx="725170" cy="647700"/>
                          <a:chOff x="4970700" y="3443425"/>
                          <a:chExt cx="750600" cy="673150"/>
                        </a:xfrm>
                      </wpg:grpSpPr>
                      <wps:wsp>
                        <wps:cNvSpPr/>
                        <wps:cNvPr id="4" name="Shape 4"/>
                        <wps:spPr>
                          <a:xfrm>
                            <a:off x="4970700" y="3443425"/>
                            <a:ext cx="750600" cy="67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83415" y="3456150"/>
                            <a:ext cx="725170" cy="647700"/>
                            <a:chOff x="0" y="0"/>
                            <a:chExt cx="6296297" cy="5299166"/>
                          </a:xfrm>
                        </wpg:grpSpPr>
                        <wps:wsp>
                          <wps:cNvSpPr/>
                          <wps:cNvPr id="29" name="Shape 29"/>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-203199</wp:posOffset>
              </wp:positionV>
              <wp:extent cx="725170" cy="647700"/>
              <wp:effectExtent b="0" l="0" r="0" t="0"/>
              <wp:wrapNone/>
              <wp:docPr id="53148879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25170" cy="647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-194308</wp:posOffset>
          </wp:positionV>
          <wp:extent cx="1987550" cy="567690"/>
          <wp:effectExtent b="0" l="0" r="0" t="0"/>
          <wp:wrapSquare wrapText="bothSides" distB="0" distT="0" distL="114300" distR="114300"/>
          <wp:docPr id="53148879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987550" cy="567690"/>
                  </a:xfrm>
                  <a:prstGeom prst="rect"/>
                  <a:ln/>
                </pic:spPr>
              </pic:pic>
            </a:graphicData>
          </a:graphic>
        </wp:anchor>
      </w:drawing>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2"/>
      <w:numFmt w:val="decimal"/>
      <w:lvlText w:val="%1"/>
      <w:lvlJc w:val="left"/>
      <w:pPr>
        <w:ind w:left="432" w:hanging="360"/>
      </w:pPr>
      <w:rPr/>
    </w:lvl>
    <w:lvl w:ilvl="1">
      <w:start w:val="1"/>
      <w:numFmt w:val="decimal"/>
      <w:lvlText w:val="%1.%2"/>
      <w:lvlJc w:val="left"/>
      <w:pPr>
        <w:ind w:left="1152" w:hanging="720"/>
      </w:pPr>
      <w:rPr/>
    </w:lvl>
    <w:lvl w:ilvl="2">
      <w:start w:val="1"/>
      <w:numFmt w:val="decimal"/>
      <w:lvlText w:val="%1.%2.%3"/>
      <w:lvlJc w:val="left"/>
      <w:pPr>
        <w:ind w:left="1512" w:hanging="720.0000000000002"/>
      </w:pPr>
      <w:rPr/>
    </w:lvl>
    <w:lvl w:ilvl="3">
      <w:start w:val="1"/>
      <w:numFmt w:val="decimal"/>
      <w:lvlText w:val="%1.%2.%3.%4"/>
      <w:lvlJc w:val="left"/>
      <w:pPr>
        <w:ind w:left="2232" w:hanging="1080"/>
      </w:pPr>
      <w:rPr/>
    </w:lvl>
    <w:lvl w:ilvl="4">
      <w:start w:val="1"/>
      <w:numFmt w:val="decimal"/>
      <w:lvlText w:val="%1.%2.%3.%4.%5"/>
      <w:lvlJc w:val="left"/>
      <w:pPr>
        <w:ind w:left="2952" w:hanging="1440"/>
      </w:pPr>
      <w:rPr/>
    </w:lvl>
    <w:lvl w:ilvl="5">
      <w:start w:val="1"/>
      <w:numFmt w:val="decimal"/>
      <w:lvlText w:val="%1.%2.%3.%4.%5.%6"/>
      <w:lvlJc w:val="left"/>
      <w:pPr>
        <w:ind w:left="3312" w:hanging="1440"/>
      </w:pPr>
      <w:rPr/>
    </w:lvl>
    <w:lvl w:ilvl="6">
      <w:start w:val="1"/>
      <w:numFmt w:val="decimal"/>
      <w:lvlText w:val="%1.%2.%3.%4.%5.%6.%7"/>
      <w:lvlJc w:val="left"/>
      <w:pPr>
        <w:ind w:left="4032" w:hanging="1800"/>
      </w:pPr>
      <w:rPr/>
    </w:lvl>
    <w:lvl w:ilvl="7">
      <w:start w:val="1"/>
      <w:numFmt w:val="decimal"/>
      <w:lvlText w:val="%1.%2.%3.%4.%5.%6.%7.%8"/>
      <w:lvlJc w:val="left"/>
      <w:pPr>
        <w:ind w:left="4752" w:hanging="2160"/>
      </w:pPr>
      <w:rPr/>
    </w:lvl>
    <w:lvl w:ilvl="8">
      <w:start w:val="1"/>
      <w:numFmt w:val="decimal"/>
      <w:lvlText w:val="%1.%2.%3.%4.%5.%6.%7.%8.%9"/>
      <w:lvlJc w:val="left"/>
      <w:pPr>
        <w:ind w:left="5112" w:hanging="216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E65E95"/>
    <w:pPr>
      <w:spacing w:after="160" w:line="259" w:lineRule="auto"/>
    </w:pPr>
    <w:rPr>
      <w:lang w:val="de-DE"/>
    </w:rPr>
  </w:style>
  <w:style w:type="paragraph" w:styleId="Heading1">
    <w:name w:val="heading 1"/>
    <w:basedOn w:val="Normal"/>
    <w:next w:val="Normal"/>
    <w:link w:val="Heading1Char"/>
    <w:uiPriority w:val="9"/>
    <w:qFormat w:val="1"/>
    <w:locked w:val="1"/>
    <w:rsid w:val="00DB3F97"/>
    <w:pPr>
      <w:keepNext w:val="1"/>
      <w:keepLines w:val="1"/>
      <w:spacing w:after="0" w:before="360" w:line="240" w:lineRule="auto"/>
      <w:outlineLvl w:val="0"/>
    </w:pPr>
    <w:rPr>
      <w:rFonts w:asciiTheme="majorHAnsi" w:cstheme="majorBidi" w:eastAsiaTheme="majorEastAsia" w:hAnsiTheme="majorHAnsi"/>
      <w:bCs w:val="1"/>
      <w:color w:val="4f81bd" w:themeColor="accent1"/>
      <w:spacing w:val="20"/>
      <w:sz w:val="32"/>
      <w:szCs w:val="28"/>
      <w:lang w:val="en-US"/>
    </w:rPr>
  </w:style>
  <w:style w:type="paragraph" w:styleId="Heading2">
    <w:name w:val="heading 2"/>
    <w:basedOn w:val="Normal"/>
    <w:next w:val="Normal"/>
    <w:link w:val="Heading2Char"/>
    <w:unhideWhenUsed w:val="1"/>
    <w:qFormat w:val="1"/>
    <w:locked w:val="1"/>
    <w:rsid w:val="00F9221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semiHidden w:val="1"/>
    <w:unhideWhenUsed w:val="1"/>
    <w:qFormat w:val="1"/>
    <w:locked w:val="1"/>
    <w:rsid w:val="004C7045"/>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B3F97"/>
    <w:rPr>
      <w:rFonts w:asciiTheme="majorHAnsi" w:cstheme="majorBidi" w:eastAsiaTheme="majorEastAsia" w:hAnsiTheme="majorHAnsi"/>
      <w:bCs w:val="1"/>
      <w:color w:val="4f81bd" w:themeColor="accent1"/>
      <w:spacing w:val="20"/>
      <w:sz w:val="32"/>
      <w:szCs w:val="28"/>
    </w:rPr>
  </w:style>
  <w:style w:type="character" w:styleId="Heading2Char" w:customStyle="1">
    <w:name w:val="Heading 2 Char"/>
    <w:basedOn w:val="DefaultParagraphFont"/>
    <w:link w:val="Heading2"/>
    <w:rsid w:val="00F92213"/>
    <w:rPr>
      <w:rFonts w:asciiTheme="majorHAnsi" w:cstheme="majorBidi" w:eastAsiaTheme="majorEastAsia" w:hAnsiTheme="majorHAnsi"/>
      <w:color w:val="365f91" w:themeColor="accent1" w:themeShade="0000BF"/>
      <w:sz w:val="26"/>
      <w:szCs w:val="26"/>
      <w:lang w:val="de-DE"/>
    </w:rPr>
  </w:style>
  <w:style w:type="character" w:styleId="Heading3Char" w:customStyle="1">
    <w:name w:val="Heading 3 Char"/>
    <w:basedOn w:val="DefaultParagraphFont"/>
    <w:link w:val="Heading3"/>
    <w:semiHidden w:val="1"/>
    <w:rsid w:val="004C7045"/>
    <w:rPr>
      <w:rFonts w:asciiTheme="majorHAnsi" w:cstheme="majorBidi" w:eastAsiaTheme="majorEastAsia" w:hAnsiTheme="majorHAnsi"/>
      <w:color w:val="243f60" w:themeColor="accent1" w:themeShade="00007F"/>
      <w:sz w:val="24"/>
      <w:szCs w:val="24"/>
      <w:lang w:val="de-DE"/>
    </w:rPr>
  </w:style>
  <w:style w:type="paragraph" w:styleId="Header">
    <w:name w:val="header"/>
    <w:basedOn w:val="Normal"/>
    <w:link w:val="HeaderChar"/>
    <w:uiPriority w:val="99"/>
    <w:rsid w:val="000E5F5D"/>
    <w:pPr>
      <w:tabs>
        <w:tab w:val="center" w:pos="4536"/>
        <w:tab w:val="right" w:pos="9072"/>
      </w:tabs>
      <w:spacing w:after="0" w:line="240" w:lineRule="auto"/>
    </w:pPr>
  </w:style>
  <w:style w:type="character" w:styleId="HeaderChar" w:customStyle="1">
    <w:name w:val="Header Char"/>
    <w:basedOn w:val="DefaultParagraphFont"/>
    <w:link w:val="Header"/>
    <w:uiPriority w:val="99"/>
    <w:locked w:val="1"/>
    <w:rsid w:val="000E5F5D"/>
    <w:rPr>
      <w:rFonts w:cs="Times New Roman"/>
    </w:rPr>
  </w:style>
  <w:style w:type="paragraph" w:styleId="Footer">
    <w:name w:val="footer"/>
    <w:basedOn w:val="Normal"/>
    <w:link w:val="FooterChar"/>
    <w:uiPriority w:val="99"/>
    <w:rsid w:val="000E5F5D"/>
    <w:pPr>
      <w:tabs>
        <w:tab w:val="center" w:pos="4536"/>
        <w:tab w:val="right" w:pos="9072"/>
      </w:tabs>
      <w:spacing w:after="0" w:line="240" w:lineRule="auto"/>
    </w:pPr>
  </w:style>
  <w:style w:type="character" w:styleId="FooterChar" w:customStyle="1">
    <w:name w:val="Footer Char"/>
    <w:basedOn w:val="DefaultParagraphFont"/>
    <w:link w:val="Footer"/>
    <w:uiPriority w:val="99"/>
    <w:locked w:val="1"/>
    <w:rsid w:val="000E5F5D"/>
    <w:rPr>
      <w:rFonts w:cs="Times New Roman"/>
    </w:rPr>
  </w:style>
  <w:style w:type="paragraph" w:styleId="ListParagraph">
    <w:name w:val="List Paragraph"/>
    <w:basedOn w:val="Normal"/>
    <w:uiPriority w:val="34"/>
    <w:qFormat w:val="1"/>
    <w:rsid w:val="00D04D38"/>
    <w:pPr>
      <w:ind w:left="720"/>
      <w:contextualSpacing w:val="1"/>
    </w:pPr>
  </w:style>
  <w:style w:type="paragraph" w:styleId="BalloonText">
    <w:name w:val="Balloon Text"/>
    <w:basedOn w:val="Normal"/>
    <w:link w:val="BalloonTextChar"/>
    <w:uiPriority w:val="99"/>
    <w:semiHidden w:val="1"/>
    <w:rsid w:val="00141FC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141FCE"/>
    <w:rPr>
      <w:rFonts w:ascii="Tahoma" w:cs="Tahoma" w:hAnsi="Tahoma"/>
      <w:sz w:val="16"/>
      <w:szCs w:val="16"/>
    </w:rPr>
  </w:style>
  <w:style w:type="table" w:styleId="TableGrid">
    <w:name w:val="Table Grid"/>
    <w:basedOn w:val="TableNormal"/>
    <w:uiPriority w:val="39"/>
    <w:rsid w:val="0000758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ittlereSchattierung1-Akzent11" w:customStyle="1">
    <w:name w:val="Mittlere Schattierung 1 - Akzent 11"/>
    <w:uiPriority w:val="99"/>
    <w:rsid w:val="005D062F"/>
    <w:rPr>
      <w:rFonts w:eastAsia="Times New Roman"/>
      <w:lang w:eastAsia="en-GB" w:val="en-GB"/>
    </w:rPr>
  </w:style>
  <w:style w:type="character" w:styleId="shorttext" w:customStyle="1">
    <w:name w:val="short_text"/>
    <w:basedOn w:val="DefaultParagraphFont"/>
    <w:uiPriority w:val="99"/>
    <w:rsid w:val="001931E4"/>
    <w:rPr>
      <w:rFonts w:cs="Times New Roman"/>
    </w:rPr>
  </w:style>
  <w:style w:type="character" w:styleId="hps" w:customStyle="1">
    <w:name w:val="hps"/>
    <w:basedOn w:val="DefaultParagraphFont"/>
    <w:rsid w:val="001931E4"/>
    <w:rPr>
      <w:rFonts w:cs="Times New Roman"/>
    </w:rPr>
  </w:style>
  <w:style w:type="character" w:styleId="st1" w:customStyle="1">
    <w:name w:val="st1"/>
    <w:basedOn w:val="DefaultParagraphFont"/>
    <w:uiPriority w:val="99"/>
    <w:rsid w:val="00C7518A"/>
    <w:rPr>
      <w:rFonts w:cs="Times New Roman"/>
    </w:rPr>
  </w:style>
  <w:style w:type="paragraph" w:styleId="DocumentMap">
    <w:name w:val="Document Map"/>
    <w:basedOn w:val="Normal"/>
    <w:link w:val="DocumentMapChar"/>
    <w:uiPriority w:val="99"/>
    <w:semiHidden w:val="1"/>
    <w:rsid w:val="00952F8E"/>
    <w:pPr>
      <w:shd w:color="auto" w:fill="000080" w:val="clear"/>
    </w:pPr>
    <w:rPr>
      <w:rFonts w:ascii="Tahoma" w:cs="Tahoma" w:hAnsi="Tahoma"/>
      <w:sz w:val="20"/>
      <w:szCs w:val="20"/>
    </w:rPr>
  </w:style>
  <w:style w:type="character" w:styleId="DocumentMapChar" w:customStyle="1">
    <w:name w:val="Document Map Char"/>
    <w:basedOn w:val="DefaultParagraphFont"/>
    <w:link w:val="DocumentMap"/>
    <w:uiPriority w:val="99"/>
    <w:semiHidden w:val="1"/>
    <w:locked w:val="1"/>
    <w:rPr>
      <w:rFonts w:ascii="Times New Roman" w:cs="Times New Roman" w:hAnsi="Times New Roman"/>
      <w:sz w:val="2"/>
      <w:lang w:val="de-DE"/>
    </w:rPr>
  </w:style>
  <w:style w:type="character" w:styleId="hpsatn" w:customStyle="1">
    <w:name w:val="hps atn"/>
    <w:basedOn w:val="DefaultParagraphFont"/>
    <w:uiPriority w:val="99"/>
    <w:rsid w:val="00952F8E"/>
    <w:rPr>
      <w:rFonts w:cs="Times New Roman"/>
    </w:rPr>
  </w:style>
  <w:style w:type="character" w:styleId="Strong">
    <w:name w:val="Strong"/>
    <w:basedOn w:val="DefaultParagraphFont"/>
    <w:uiPriority w:val="22"/>
    <w:qFormat w:val="1"/>
    <w:locked w:val="1"/>
    <w:rsid w:val="006E6F60"/>
    <w:rPr>
      <w:rFonts w:cs="Times New Roman"/>
      <w:b w:val="1"/>
      <w:bCs w:val="1"/>
    </w:rPr>
  </w:style>
  <w:style w:type="character" w:styleId="apple-converted-space" w:customStyle="1">
    <w:name w:val="apple-converted-space"/>
    <w:basedOn w:val="DefaultParagraphFont"/>
    <w:rsid w:val="0046454A"/>
    <w:rPr>
      <w:rFonts w:cs="Times New Roman"/>
    </w:rPr>
  </w:style>
  <w:style w:type="character" w:styleId="Hyperlink">
    <w:name w:val="Hyperlink"/>
    <w:basedOn w:val="DefaultParagraphFont"/>
    <w:uiPriority w:val="99"/>
    <w:rsid w:val="003B7015"/>
    <w:rPr>
      <w:rFonts w:cs="Times New Roman"/>
      <w:color w:val="0000ff"/>
      <w:u w:val="single"/>
    </w:rPr>
  </w:style>
  <w:style w:type="paragraph" w:styleId="FootnoteText">
    <w:name w:val="footnote text"/>
    <w:basedOn w:val="Normal"/>
    <w:link w:val="FootnoteTextChar"/>
    <w:uiPriority w:val="99"/>
    <w:unhideWhenUsed w:val="1"/>
    <w:rsid w:val="00D63040"/>
    <w:pPr>
      <w:spacing w:after="0" w:line="240" w:lineRule="auto"/>
    </w:pPr>
    <w:rPr>
      <w:sz w:val="20"/>
      <w:szCs w:val="20"/>
    </w:rPr>
  </w:style>
  <w:style w:type="character" w:styleId="FootnoteTextChar" w:customStyle="1">
    <w:name w:val="Footnote Text Char"/>
    <w:basedOn w:val="DefaultParagraphFont"/>
    <w:link w:val="FootnoteText"/>
    <w:uiPriority w:val="99"/>
    <w:rsid w:val="00D63040"/>
    <w:rPr>
      <w:sz w:val="20"/>
      <w:szCs w:val="20"/>
      <w:lang w:val="de-DE"/>
    </w:rPr>
  </w:style>
  <w:style w:type="character" w:styleId="FootnoteReference">
    <w:name w:val="footnote reference"/>
    <w:basedOn w:val="DefaultParagraphFont"/>
    <w:uiPriority w:val="99"/>
    <w:semiHidden w:val="1"/>
    <w:unhideWhenUsed w:val="1"/>
    <w:rsid w:val="00D63040"/>
    <w:rPr>
      <w:vertAlign w:val="superscript"/>
    </w:rPr>
  </w:style>
  <w:style w:type="paragraph" w:styleId="Default" w:customStyle="1">
    <w:name w:val="Default"/>
    <w:rsid w:val="005C012D"/>
    <w:pPr>
      <w:autoSpaceDE w:val="0"/>
      <w:autoSpaceDN w:val="0"/>
      <w:adjustRightInd w:val="0"/>
    </w:pPr>
    <w:rPr>
      <w:rFonts w:ascii="EC Square Sans Pro" w:cs="EC Square Sans Pro" w:hAnsi="EC Square Sans Pro"/>
      <w:color w:val="000000"/>
      <w:sz w:val="24"/>
      <w:szCs w:val="24"/>
    </w:rPr>
  </w:style>
  <w:style w:type="table" w:styleId="MediumList2-Accent6">
    <w:name w:val="Medium List 2 Accent 6"/>
    <w:basedOn w:val="TableNormal"/>
    <w:uiPriority w:val="66"/>
    <w:rsid w:val="00DB3F97"/>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character" w:styleId="Emphasis">
    <w:name w:val="Emphasis"/>
    <w:basedOn w:val="DefaultParagraphFont"/>
    <w:uiPriority w:val="20"/>
    <w:qFormat w:val="1"/>
    <w:locked w:val="1"/>
    <w:rsid w:val="00887B50"/>
    <w:rPr>
      <w:i w:val="1"/>
      <w:iCs w:val="1"/>
    </w:rPr>
  </w:style>
  <w:style w:type="character" w:styleId="CommentReference">
    <w:name w:val="annotation reference"/>
    <w:basedOn w:val="DefaultParagraphFont"/>
    <w:uiPriority w:val="99"/>
    <w:semiHidden w:val="1"/>
    <w:unhideWhenUsed w:val="1"/>
    <w:rsid w:val="004D095F"/>
    <w:rPr>
      <w:sz w:val="16"/>
      <w:szCs w:val="16"/>
    </w:rPr>
  </w:style>
  <w:style w:type="paragraph" w:styleId="CommentText">
    <w:name w:val="annotation text"/>
    <w:basedOn w:val="Normal"/>
    <w:link w:val="CommentTextChar"/>
    <w:uiPriority w:val="99"/>
    <w:semiHidden w:val="1"/>
    <w:unhideWhenUsed w:val="1"/>
    <w:rsid w:val="004D095F"/>
    <w:pPr>
      <w:spacing w:line="240" w:lineRule="auto"/>
    </w:pPr>
    <w:rPr>
      <w:sz w:val="20"/>
      <w:szCs w:val="20"/>
    </w:rPr>
  </w:style>
  <w:style w:type="character" w:styleId="CommentTextChar" w:customStyle="1">
    <w:name w:val="Comment Text Char"/>
    <w:basedOn w:val="DefaultParagraphFont"/>
    <w:link w:val="CommentText"/>
    <w:uiPriority w:val="99"/>
    <w:semiHidden w:val="1"/>
    <w:rsid w:val="004D095F"/>
    <w:rPr>
      <w:sz w:val="20"/>
      <w:szCs w:val="20"/>
      <w:lang w:val="de-DE"/>
    </w:rPr>
  </w:style>
  <w:style w:type="paragraph" w:styleId="CommentSubject">
    <w:name w:val="annotation subject"/>
    <w:basedOn w:val="CommentText"/>
    <w:next w:val="CommentText"/>
    <w:link w:val="CommentSubjectChar"/>
    <w:uiPriority w:val="99"/>
    <w:semiHidden w:val="1"/>
    <w:unhideWhenUsed w:val="1"/>
    <w:rsid w:val="004D095F"/>
    <w:rPr>
      <w:b w:val="1"/>
      <w:bCs w:val="1"/>
    </w:rPr>
  </w:style>
  <w:style w:type="character" w:styleId="CommentSubjectChar" w:customStyle="1">
    <w:name w:val="Comment Subject Char"/>
    <w:basedOn w:val="CommentTextChar"/>
    <w:link w:val="CommentSubject"/>
    <w:uiPriority w:val="99"/>
    <w:semiHidden w:val="1"/>
    <w:rsid w:val="004D095F"/>
    <w:rPr>
      <w:b w:val="1"/>
      <w:bCs w:val="1"/>
      <w:sz w:val="20"/>
      <w:szCs w:val="20"/>
      <w:lang w:val="de-DE"/>
    </w:rPr>
  </w:style>
  <w:style w:type="character" w:styleId="user-generated" w:customStyle="1">
    <w:name w:val="user-generated"/>
    <w:basedOn w:val="DefaultParagraphFont"/>
    <w:rsid w:val="00911D11"/>
  </w:style>
  <w:style w:type="paragraph" w:styleId="BodyText">
    <w:name w:val="Body Text"/>
    <w:basedOn w:val="Normal"/>
    <w:link w:val="BodyTextChar"/>
    <w:rsid w:val="00911D11"/>
    <w:pPr>
      <w:spacing w:after="0" w:line="240" w:lineRule="auto"/>
    </w:pPr>
    <w:rPr>
      <w:rFonts w:ascii="Arial" w:eastAsia="Times New Roman" w:hAnsi="Arial"/>
      <w:b w:val="1"/>
      <w:sz w:val="24"/>
      <w:szCs w:val="20"/>
      <w:lang w:eastAsia="de-DE"/>
    </w:rPr>
  </w:style>
  <w:style w:type="character" w:styleId="BodyTextChar" w:customStyle="1">
    <w:name w:val="Body Text Char"/>
    <w:basedOn w:val="DefaultParagraphFont"/>
    <w:link w:val="BodyText"/>
    <w:rsid w:val="00911D11"/>
    <w:rPr>
      <w:rFonts w:ascii="Arial" w:eastAsia="Times New Roman" w:hAnsi="Arial"/>
      <w:b w:val="1"/>
      <w:sz w:val="24"/>
      <w:szCs w:val="20"/>
      <w:lang w:eastAsia="de-DE" w:val="de-DE"/>
    </w:rPr>
  </w:style>
  <w:style w:type="paragraph" w:styleId="HTMLPreformatted">
    <w:name w:val="HTML Preformatted"/>
    <w:basedOn w:val="Normal"/>
    <w:link w:val="HTMLPreformattedChar"/>
    <w:uiPriority w:val="99"/>
    <w:semiHidden w:val="1"/>
    <w:unhideWhenUsed w:val="1"/>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de-DE"/>
    </w:rPr>
  </w:style>
  <w:style w:type="character" w:styleId="HTMLPreformattedChar" w:customStyle="1">
    <w:name w:val="HTML Preformatted Char"/>
    <w:basedOn w:val="DefaultParagraphFont"/>
    <w:link w:val="HTMLPreformatted"/>
    <w:uiPriority w:val="99"/>
    <w:semiHidden w:val="1"/>
    <w:rsid w:val="00E60DD7"/>
    <w:rPr>
      <w:rFonts w:ascii="Courier New" w:cs="Courier New" w:eastAsia="Times New Roman" w:hAnsi="Courier New"/>
      <w:sz w:val="20"/>
      <w:szCs w:val="20"/>
      <w:lang w:eastAsia="de-DE" w:val="de-DE"/>
    </w:rPr>
  </w:style>
  <w:style w:type="character" w:styleId="st" w:customStyle="1">
    <w:name w:val="st"/>
    <w:basedOn w:val="DefaultParagraphFont"/>
    <w:rsid w:val="00585B65"/>
  </w:style>
  <w:style w:type="table" w:styleId="TableNormal1" w:customStyle="1">
    <w:name w:val="Table Normal1"/>
    <w:uiPriority w:val="2"/>
    <w:semiHidden w:val="1"/>
    <w:unhideWhenUsed w:val="1"/>
    <w:qFormat w:val="1"/>
    <w:rsid w:val="00F92213"/>
    <w:pPr>
      <w:widowControl w:val="0"/>
      <w:autoSpaceDE w:val="0"/>
      <w:autoSpaceDN w:val="0"/>
    </w:pPr>
    <w:rPr>
      <w:rFonts w:asciiTheme="minorHAnsi" w:cstheme="minorBidi" w:eastAsiaTheme="minorHAnsi" w:hAnsiTheme="minorHAnsi"/>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F92213"/>
    <w:pPr>
      <w:widowControl w:val="0"/>
      <w:autoSpaceDE w:val="0"/>
      <w:autoSpaceDN w:val="0"/>
      <w:spacing w:after="0" w:line="240" w:lineRule="auto"/>
    </w:pPr>
    <w:rPr>
      <w:rFonts w:ascii="Arial" w:cs="Arial" w:eastAsia="Arial" w:hAnsi="Arial"/>
      <w:lang w:bidi="de-DE" w:eastAsia="de-DE"/>
    </w:rPr>
  </w:style>
  <w:style w:type="paragraph" w:styleId="NormalWeb">
    <w:name w:val="Normal (Web)"/>
    <w:basedOn w:val="Normal"/>
    <w:uiPriority w:val="99"/>
    <w:unhideWhenUsed w:val="1"/>
    <w:rsid w:val="00466760"/>
    <w:pPr>
      <w:spacing w:after="100" w:afterAutospacing="1" w:before="100" w:beforeAutospacing="1" w:line="240" w:lineRule="auto"/>
    </w:pPr>
    <w:rPr>
      <w:rFonts w:ascii="Times New Roman" w:eastAsia="Times New Roman" w:hAnsi="Times New Roman"/>
      <w:sz w:val="24"/>
      <w:szCs w:val="24"/>
      <w:lang w:val="en-IE"/>
    </w:rPr>
  </w:style>
  <w:style w:type="paragraph" w:styleId="label" w:customStyle="1">
    <w:name w:val="label"/>
    <w:basedOn w:val="Normal"/>
    <w:rsid w:val="00466760"/>
    <w:pPr>
      <w:overflowPunct w:val="0"/>
      <w:autoSpaceDE w:val="0"/>
      <w:autoSpaceDN w:val="0"/>
      <w:adjustRightInd w:val="0"/>
      <w:spacing w:after="200" w:line="288" w:lineRule="auto"/>
      <w:jc w:val="both"/>
      <w:textAlignment w:val="baseline"/>
    </w:pPr>
    <w:rPr>
      <w:rFonts w:ascii="Verdana" w:cs="Calibri" w:hAnsi="Verdana"/>
      <w:b w:val="1"/>
      <w:bCs w:val="1"/>
      <w:szCs w:val="20"/>
      <w:lang w:bidi="he-IL" w:val="en-GB"/>
    </w:rPr>
  </w:style>
  <w:style w:type="paragraph" w:styleId="Title">
    <w:name w:val="Title"/>
    <w:basedOn w:val="Normal"/>
    <w:next w:val="Normal"/>
    <w:link w:val="TitleChar"/>
    <w:qFormat w:val="1"/>
    <w:locked w:val="1"/>
    <w:rsid w:val="00466760"/>
    <w:pPr>
      <w:pBdr>
        <w:bottom w:color="5b9bd5" w:space="4" w:sz="8" w:val="single"/>
      </w:pBdr>
      <w:spacing w:after="300" w:line="240" w:lineRule="auto"/>
      <w:contextualSpacing w:val="1"/>
    </w:pPr>
    <w:rPr>
      <w:rFonts w:ascii="Calibri Light" w:eastAsia="Times New Roman" w:hAnsi="Calibri Light"/>
      <w:color w:val="323e4f"/>
      <w:spacing w:val="5"/>
      <w:kern w:val="28"/>
      <w:sz w:val="52"/>
      <w:szCs w:val="52"/>
      <w:lang w:val="en-US"/>
    </w:rPr>
  </w:style>
  <w:style w:type="character" w:styleId="TitleChar" w:customStyle="1">
    <w:name w:val="Title Char"/>
    <w:basedOn w:val="DefaultParagraphFont"/>
    <w:link w:val="Title"/>
    <w:rsid w:val="00466760"/>
    <w:rPr>
      <w:rFonts w:ascii="Calibri Light" w:eastAsia="Times New Roman" w:hAnsi="Calibri Light"/>
      <w:color w:val="323e4f"/>
      <w:spacing w:val="5"/>
      <w:kern w:val="28"/>
      <w:sz w:val="52"/>
      <w:szCs w:val="52"/>
    </w:rPr>
  </w:style>
  <w:style w:type="paragraph" w:styleId="TOCHeading">
    <w:name w:val="TOC Heading"/>
    <w:basedOn w:val="Heading1"/>
    <w:next w:val="Normal"/>
    <w:uiPriority w:val="39"/>
    <w:unhideWhenUsed w:val="1"/>
    <w:qFormat w:val="1"/>
    <w:rsid w:val="004C7045"/>
    <w:pPr>
      <w:spacing w:before="240" w:line="259" w:lineRule="auto"/>
      <w:outlineLvl w:val="9"/>
    </w:pPr>
    <w:rPr>
      <w:bCs w:val="0"/>
      <w:color w:val="365f91" w:themeColor="accent1" w:themeShade="0000BF"/>
      <w:spacing w:val="0"/>
      <w:szCs w:val="32"/>
      <w:lang w:eastAsia="de-DE" w:val="de-DE"/>
    </w:rPr>
  </w:style>
  <w:style w:type="paragraph" w:styleId="TOC1">
    <w:name w:val="toc 1"/>
    <w:basedOn w:val="Normal"/>
    <w:next w:val="Normal"/>
    <w:autoRedefine w:val="1"/>
    <w:uiPriority w:val="39"/>
    <w:locked w:val="1"/>
    <w:rsid w:val="004C7045"/>
    <w:pPr>
      <w:spacing w:after="100"/>
    </w:pPr>
  </w:style>
  <w:style w:type="paragraph" w:styleId="TOC2">
    <w:name w:val="toc 2"/>
    <w:basedOn w:val="Normal"/>
    <w:next w:val="Normal"/>
    <w:autoRedefine w:val="1"/>
    <w:uiPriority w:val="39"/>
    <w:locked w:val="1"/>
    <w:rsid w:val="004C7045"/>
    <w:pPr>
      <w:spacing w:after="100"/>
      <w:ind w:left="220"/>
    </w:pPr>
  </w:style>
  <w:style w:type="character" w:styleId="mw-headline" w:customStyle="1">
    <w:name w:val="mw-headline"/>
    <w:basedOn w:val="DefaultParagraphFont"/>
    <w:rsid w:val="004C7045"/>
  </w:style>
  <w:style w:type="paragraph" w:styleId="toclevel-1" w:customStyle="1">
    <w:name w:val="toclevel-1"/>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character" w:styleId="tocnumber" w:customStyle="1">
    <w:name w:val="tocnumber"/>
    <w:basedOn w:val="DefaultParagraphFont"/>
    <w:rsid w:val="004C7045"/>
  </w:style>
  <w:style w:type="character" w:styleId="toctext" w:customStyle="1">
    <w:name w:val="toctext"/>
    <w:basedOn w:val="DefaultParagraphFont"/>
    <w:rsid w:val="004C7045"/>
  </w:style>
  <w:style w:type="paragraph" w:styleId="toclevel-2" w:customStyle="1">
    <w:name w:val="toclevel-2"/>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toclevel-3" w:customStyle="1">
    <w:name w:val="toclevel-3"/>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Caption">
    <w:name w:val="caption"/>
    <w:basedOn w:val="Normal"/>
    <w:next w:val="Normal"/>
    <w:uiPriority w:val="35"/>
    <w:unhideWhenUsed w:val="1"/>
    <w:qFormat w:val="1"/>
    <w:locked w:val="1"/>
    <w:rsid w:val="004C7045"/>
    <w:pPr>
      <w:spacing w:after="200" w:line="240" w:lineRule="auto"/>
      <w:jc w:val="both"/>
    </w:pPr>
    <w:rPr>
      <w:rFonts w:ascii="Times New Roman" w:hAnsi="Times New Roman" w:cstheme="minorBidi" w:eastAsiaTheme="minorHAnsi"/>
      <w:i w:val="1"/>
      <w:iCs w:val="1"/>
      <w:color w:val="1f497d" w:themeColor="text2"/>
      <w:sz w:val="18"/>
      <w:szCs w:val="18"/>
      <w:lang w:val="en-GB"/>
    </w:rPr>
  </w:style>
  <w:style w:type="character" w:styleId="UnresolvedMention">
    <w:name w:val="Unresolved Mention"/>
    <w:basedOn w:val="DefaultParagraphFont"/>
    <w:uiPriority w:val="99"/>
    <w:semiHidden w:val="1"/>
    <w:unhideWhenUsed w:val="1"/>
    <w:rsid w:val="00EF528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sarahcordiner.com/the-8-fundamental-principles-of-a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98CROpJTFz7fL8lmLuCye7a24Q==">CgMxLjAyDmguaGprN2FwOHh6b2czMg5oLml3Y3dsZG54MjlnaDIOaC52dGZtOTFocXJhMDMyDmguOGxkcGFjb3Yzam1qMg5oLnhrOTkxYm5wazEwNjIOaC5yNjk2Z3VqMTc5bDkyDmguM3RobWhlZzNyYjNnMg5oLmJ3YXhtYm1odDRuMzIOaC5hYzZzYWJpNHZidnkyDmgucjluM25lN3Q0aTI3Mg5oLmdzN2wzYzkybmd2czIOaC4zbXU2ZG53d3MyaTcyDmguOHJkMDhwM2FqMnJ1OAByITFwQW1RVkl2SUlPZ3dKUWxnNzB1dkNLMngzS2FaOEtt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2024-05-22T13:43:00Z</dcterms:created>
  <dc:creator>Marc Beutner</dc:creator>
</cp:coreProperties>
</file>